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A395B" w14:textId="77777777" w:rsidR="0018656C" w:rsidRPr="00DD38A9" w:rsidRDefault="00F77F79" w:rsidP="005A2D47">
      <w:pPr>
        <w:rPr>
          <w:rFonts w:cs="Segoe UI"/>
          <w:color w:val="779ECC" w:themeColor="text2" w:themeTint="99"/>
          <w:sz w:val="48"/>
          <w:szCs w:val="48"/>
        </w:rPr>
      </w:pPr>
      <w:r w:rsidRPr="00DD38A9">
        <w:rPr>
          <w:rFonts w:cs="Segoe UI"/>
          <w:noProof/>
          <w:color w:val="779ECC" w:themeColor="text2" w:themeTint="99"/>
          <w:sz w:val="48"/>
          <w:szCs w:val="48"/>
        </w:rPr>
        <w:drawing>
          <wp:inline distT="0" distB="0" distL="0" distR="0" wp14:anchorId="4BB5FCB1" wp14:editId="1FABF103">
            <wp:extent cx="2322195" cy="1051560"/>
            <wp:effectExtent l="0" t="0" r="190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9" cstate="print">
                      <a:extLst>
                        <a:ext uri="{28A0092B-C50C-407E-A947-70E740481C1C}">
                          <a14:useLocalDpi xmlns:a14="http://schemas.microsoft.com/office/drawing/2010/main" val="0"/>
                        </a:ext>
                      </a:extLst>
                    </a:blip>
                    <a:srcRect l="8368" t="23333" r="8368" b="23333"/>
                    <a:stretch/>
                  </pic:blipFill>
                  <pic:spPr>
                    <a:xfrm>
                      <a:off x="0" y="0"/>
                      <a:ext cx="2322195" cy="1051560"/>
                    </a:xfrm>
                    <a:prstGeom prst="rect">
                      <a:avLst/>
                    </a:prstGeom>
                  </pic:spPr>
                </pic:pic>
              </a:graphicData>
            </a:graphic>
          </wp:inline>
        </w:drawing>
      </w:r>
    </w:p>
    <w:p w14:paraId="7667138C" w14:textId="77777777" w:rsidR="0018656C" w:rsidRPr="00DD38A9" w:rsidRDefault="0018656C" w:rsidP="009769AD">
      <w:pPr>
        <w:rPr>
          <w:rFonts w:cs="Segoe UI"/>
          <w:color w:val="779ECC" w:themeColor="text2" w:themeTint="99"/>
          <w:sz w:val="48"/>
          <w:szCs w:val="48"/>
        </w:rPr>
      </w:pPr>
    </w:p>
    <w:p w14:paraId="6B65EA9A" w14:textId="77777777" w:rsidR="0018656C" w:rsidRPr="00DD38A9" w:rsidRDefault="0018656C" w:rsidP="009769AD">
      <w:pPr>
        <w:rPr>
          <w:rFonts w:cs="Segoe UI"/>
          <w:color w:val="779ECC" w:themeColor="text2" w:themeTint="99"/>
          <w:sz w:val="48"/>
          <w:szCs w:val="48"/>
        </w:rPr>
      </w:pPr>
    </w:p>
    <w:p w14:paraId="4AB717DC" w14:textId="21B19B32" w:rsidR="002E4EFE" w:rsidRPr="002E4EFE" w:rsidRDefault="002E4EFE" w:rsidP="002E4EFE">
      <w:pPr>
        <w:jc w:val="center"/>
        <w:rPr>
          <w:rFonts w:cs="Segoe UI"/>
          <w:color w:val="FF0000"/>
          <w:sz w:val="48"/>
          <w:szCs w:val="48"/>
        </w:rPr>
      </w:pPr>
    </w:p>
    <w:p w14:paraId="7606E2EA" w14:textId="2300C688" w:rsidR="0018656C" w:rsidRPr="00DD38A9" w:rsidRDefault="0018656C" w:rsidP="009769AD">
      <w:pPr>
        <w:rPr>
          <w:rFonts w:cs="Segoe UI"/>
          <w:color w:val="779ECC" w:themeColor="text2" w:themeTint="99"/>
          <w:sz w:val="48"/>
          <w:szCs w:val="48"/>
        </w:rPr>
      </w:pPr>
    </w:p>
    <w:p w14:paraId="2E05A2DA" w14:textId="3B2D482B" w:rsidR="004D7226" w:rsidRPr="004D7226" w:rsidRDefault="004D7226" w:rsidP="009769AD">
      <w:pPr>
        <w:pStyle w:val="Title"/>
        <w:spacing w:line="276" w:lineRule="auto"/>
        <w:rPr>
          <w:rFonts w:ascii="Segoe UI" w:hAnsi="Segoe UI" w:cs="Segoe UI"/>
          <w:color w:val="779ECC" w:themeColor="text2" w:themeTint="99"/>
          <w:sz w:val="48"/>
          <w:szCs w:val="48"/>
        </w:rPr>
      </w:pPr>
      <w:r w:rsidRPr="004D7226">
        <w:rPr>
          <w:rFonts w:ascii="Segoe UI" w:hAnsi="Segoe UI" w:cs="Segoe UI"/>
          <w:color w:val="779ECC" w:themeColor="text2" w:themeTint="99"/>
          <w:sz w:val="48"/>
          <w:szCs w:val="48"/>
        </w:rPr>
        <w:t>Off-grid solar market assessment</w:t>
      </w:r>
      <w:r>
        <w:rPr>
          <w:rFonts w:ascii="Segoe UI" w:hAnsi="Segoe UI" w:cs="Segoe UI"/>
          <w:color w:val="779ECC" w:themeColor="text2" w:themeTint="99"/>
          <w:sz w:val="48"/>
          <w:szCs w:val="48"/>
        </w:rPr>
        <w:t xml:space="preserve"> in Niger</w:t>
      </w:r>
    </w:p>
    <w:p w14:paraId="013C26CB" w14:textId="02CB4232" w:rsidR="00D80FAB" w:rsidRPr="00DD38A9" w:rsidRDefault="004D7226" w:rsidP="009769AD">
      <w:pPr>
        <w:pStyle w:val="Title"/>
        <w:spacing w:line="276" w:lineRule="auto"/>
        <w:rPr>
          <w:rFonts w:ascii="Segoe UI" w:hAnsi="Segoe UI" w:cs="Segoe UI"/>
          <w:color w:val="779ECC" w:themeColor="text2" w:themeTint="99"/>
          <w:sz w:val="48"/>
          <w:szCs w:val="48"/>
        </w:rPr>
      </w:pPr>
      <w:r w:rsidRPr="004D7226">
        <w:rPr>
          <w:rFonts w:ascii="Segoe UI" w:hAnsi="Segoe UI" w:cs="Segoe UI"/>
          <w:color w:val="779ECC" w:themeColor="text2" w:themeTint="99"/>
          <w:sz w:val="48"/>
          <w:szCs w:val="48"/>
        </w:rPr>
        <w:t xml:space="preserve">&amp; design </w:t>
      </w:r>
      <w:r>
        <w:rPr>
          <w:rFonts w:ascii="Segoe UI" w:hAnsi="Segoe UI" w:cs="Segoe UI"/>
          <w:color w:val="779ECC" w:themeColor="text2" w:themeTint="99"/>
          <w:sz w:val="48"/>
          <w:szCs w:val="48"/>
        </w:rPr>
        <w:t xml:space="preserve">of </w:t>
      </w:r>
      <w:r w:rsidR="00210A1A" w:rsidRPr="00DD38A9">
        <w:rPr>
          <w:rFonts w:ascii="Segoe UI" w:hAnsi="Segoe UI" w:cs="Segoe UI"/>
          <w:color w:val="779ECC" w:themeColor="text2" w:themeTint="99"/>
          <w:sz w:val="48"/>
          <w:szCs w:val="48"/>
        </w:rPr>
        <w:t xml:space="preserve">market-based </w:t>
      </w:r>
      <w:r>
        <w:rPr>
          <w:rFonts w:ascii="Segoe UI" w:hAnsi="Segoe UI" w:cs="Segoe UI"/>
          <w:color w:val="779ECC" w:themeColor="text2" w:themeTint="99"/>
          <w:sz w:val="48"/>
          <w:szCs w:val="48"/>
        </w:rPr>
        <w:t>solutions</w:t>
      </w:r>
    </w:p>
    <w:p w14:paraId="7B560909" w14:textId="195B98B7" w:rsidR="00CF4096" w:rsidRDefault="0033069A" w:rsidP="009769AD">
      <w:pPr>
        <w:rPr>
          <w:rFonts w:cs="Segoe UI"/>
        </w:rPr>
      </w:pPr>
      <w:r>
        <w:rPr>
          <w:rFonts w:cs="Segoe UI"/>
        </w:rPr>
        <w:t>Final report</w:t>
      </w:r>
      <w:r w:rsidR="00872E5D">
        <w:rPr>
          <w:rFonts w:cs="Segoe UI"/>
        </w:rPr>
        <w:t xml:space="preserve"> – June 2017</w:t>
      </w:r>
    </w:p>
    <w:p w14:paraId="5D142587" w14:textId="2E62096E" w:rsidR="00E96F16" w:rsidRPr="00DD38A9" w:rsidRDefault="00E96F16" w:rsidP="009769AD">
      <w:pPr>
        <w:rPr>
          <w:rFonts w:cs="Segoe UI"/>
        </w:rPr>
      </w:pPr>
    </w:p>
    <w:p w14:paraId="01AC65E4" w14:textId="77777777" w:rsidR="00872E5D" w:rsidRDefault="00872E5D" w:rsidP="000C50ED">
      <w:pPr>
        <w:rPr>
          <w:rFonts w:cs="Segoe UI"/>
          <w:color w:val="28476D" w:themeColor="text2" w:themeShade="BF"/>
          <w:sz w:val="28"/>
          <w:szCs w:val="28"/>
        </w:rPr>
      </w:pPr>
    </w:p>
    <w:p w14:paraId="4DCD94FF" w14:textId="77777777" w:rsidR="00872E5D" w:rsidRDefault="00872E5D" w:rsidP="000C50ED">
      <w:pPr>
        <w:rPr>
          <w:rFonts w:cs="Segoe UI"/>
          <w:color w:val="28476D" w:themeColor="text2" w:themeShade="BF"/>
          <w:sz w:val="28"/>
          <w:szCs w:val="28"/>
        </w:rPr>
      </w:pPr>
    </w:p>
    <w:p w14:paraId="62D9EB2E" w14:textId="77777777" w:rsidR="00872E5D" w:rsidRDefault="00872E5D" w:rsidP="000C50ED">
      <w:pPr>
        <w:rPr>
          <w:rFonts w:cs="Segoe UI"/>
          <w:color w:val="28476D" w:themeColor="text2" w:themeShade="BF"/>
          <w:sz w:val="28"/>
          <w:szCs w:val="28"/>
        </w:rPr>
      </w:pPr>
    </w:p>
    <w:p w14:paraId="5D202DCF" w14:textId="77777777" w:rsidR="00872E5D" w:rsidRDefault="00872E5D" w:rsidP="000C50ED">
      <w:pPr>
        <w:rPr>
          <w:rFonts w:cs="Segoe UI"/>
          <w:color w:val="28476D" w:themeColor="text2" w:themeShade="BF"/>
          <w:sz w:val="28"/>
          <w:szCs w:val="28"/>
        </w:rPr>
      </w:pPr>
    </w:p>
    <w:p w14:paraId="60751A2A" w14:textId="07EE0248" w:rsidR="00BB3453" w:rsidRPr="00872E5D" w:rsidRDefault="00872E5D" w:rsidP="00872E5D">
      <w:pPr>
        <w:rPr>
          <w:rFonts w:cs="Segoe UI"/>
          <w:color w:val="28476D" w:themeColor="text2" w:themeShade="BF"/>
          <w:sz w:val="28"/>
          <w:szCs w:val="28"/>
        </w:rPr>
      </w:pPr>
      <w:r>
        <w:rPr>
          <w:rFonts w:cs="Segoe UI"/>
          <w:i/>
          <w:noProof/>
          <w:sz w:val="20"/>
          <w:szCs w:val="20"/>
        </w:rPr>
        <mc:AlternateContent>
          <mc:Choice Requires="wps">
            <w:drawing>
              <wp:anchor distT="0" distB="0" distL="114300" distR="114300" simplePos="0" relativeHeight="251758592" behindDoc="0" locked="0" layoutInCell="1" allowOverlap="1" wp14:anchorId="17CF4311" wp14:editId="2B9CA15F">
                <wp:simplePos x="0" y="0"/>
                <wp:positionH relativeFrom="column">
                  <wp:posOffset>-62865</wp:posOffset>
                </wp:positionH>
                <wp:positionV relativeFrom="paragraph">
                  <wp:posOffset>551815</wp:posOffset>
                </wp:positionV>
                <wp:extent cx="5944235" cy="612140"/>
                <wp:effectExtent l="0" t="0" r="24765" b="22860"/>
                <wp:wrapSquare wrapText="bothSides"/>
                <wp:docPr id="43" name="Text Box 43"/>
                <wp:cNvGraphicFramePr/>
                <a:graphic xmlns:a="http://schemas.openxmlformats.org/drawingml/2006/main">
                  <a:graphicData uri="http://schemas.microsoft.com/office/word/2010/wordprocessingShape">
                    <wps:wsp>
                      <wps:cNvSpPr txBox="1"/>
                      <wps:spPr>
                        <a:xfrm>
                          <a:off x="0" y="0"/>
                          <a:ext cx="5944235" cy="612140"/>
                        </a:xfrm>
                        <a:prstGeom prst="rect">
                          <a:avLst/>
                        </a:prstGeom>
                        <a:noFill/>
                        <a:ln>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D10E0DF" w14:textId="77777777" w:rsidR="00872E5D" w:rsidRPr="00872E5D" w:rsidRDefault="00872E5D" w:rsidP="00872E5D">
                            <w:pPr>
                              <w:spacing w:before="100" w:beforeAutospacing="1" w:after="100" w:afterAutospacing="1" w:line="240" w:lineRule="auto"/>
                              <w:jc w:val="both"/>
                              <w:rPr>
                                <w:rFonts w:asciiTheme="minorHAnsi" w:hAnsiTheme="minorHAnsi" w:cstheme="minorHAnsi"/>
                              </w:rPr>
                            </w:pPr>
                            <w:r w:rsidRPr="00872E5D">
                              <w:rPr>
                                <w:rFonts w:asciiTheme="minorHAnsi" w:hAnsiTheme="minorHAnsi" w:cstheme="minorHAnsi"/>
                              </w:rPr>
                              <w:t xml:space="preserve">The findings, interpretations, and conclusions expressed in this paper are entirely those of the authors. They do not necessarily represent the view of the Lighting Africa Program, its affiliated organizations, or the governments they represent. </w:t>
                            </w:r>
                          </w:p>
                          <w:p w14:paraId="4B8FAA78" w14:textId="77777777" w:rsidR="00872E5D" w:rsidRDefault="00872E5D" w:rsidP="00872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F4311" id="_x0000_t202" coordsize="21600,21600" o:spt="202" path="m0,0l0,21600,21600,21600,21600,0xe">
                <v:stroke joinstyle="miter"/>
                <v:path gradientshapeok="t" o:connecttype="rect"/>
              </v:shapetype>
              <v:shape id="Text Box 43" o:spid="_x0000_s1026" type="#_x0000_t202" style="position:absolute;margin-left:-4.95pt;margin-top:43.45pt;width:468.05pt;height:4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" filled="f" strokecolor="#366092 [3215]">
                <v:textbox>
                  <w:txbxContent>
                    <w:p w14:paraId="3D10E0DF" w14:textId="77777777" w:rsidR="00872E5D" w:rsidRPr="00872E5D" w:rsidRDefault="00872E5D" w:rsidP="00872E5D">
                      <w:pPr>
                        <w:spacing w:before="100" w:beforeAutospacing="1" w:after="100" w:afterAutospacing="1" w:line="240" w:lineRule="auto"/>
                        <w:jc w:val="both"/>
                        <w:rPr>
                          <w:rFonts w:asciiTheme="minorHAnsi" w:hAnsiTheme="minorHAnsi" w:cstheme="minorHAnsi"/>
                        </w:rPr>
                      </w:pPr>
                      <w:r w:rsidRPr="00872E5D">
                        <w:rPr>
                          <w:rFonts w:asciiTheme="minorHAnsi" w:hAnsiTheme="minorHAnsi" w:cstheme="minorHAnsi"/>
                        </w:rPr>
                        <w:t xml:space="preserve">The findings, interpretations, and conclusions expressed in this paper are entirely those of the authors. They do not necessarily represent the view of the Lighting Africa Program, its affiliated organizations, or the governments they represent. </w:t>
                      </w:r>
                    </w:p>
                    <w:p w14:paraId="4B8FAA78" w14:textId="77777777" w:rsidR="00872E5D" w:rsidRDefault="00872E5D" w:rsidP="00872E5D"/>
                  </w:txbxContent>
                </v:textbox>
                <w10:wrap type="square"/>
              </v:shape>
            </w:pict>
          </mc:Fallback>
        </mc:AlternateContent>
      </w:r>
    </w:p>
    <w:p w14:paraId="0FF45C5A" w14:textId="77777777" w:rsidR="00BB3453" w:rsidRDefault="00BB3453" w:rsidP="009769AD">
      <w:pPr>
        <w:jc w:val="center"/>
        <w:rPr>
          <w:rFonts w:cs="Segoe UI"/>
          <w:i/>
          <w:sz w:val="20"/>
          <w:szCs w:val="20"/>
        </w:rPr>
        <w:sectPr w:rsidR="00BB3453" w:rsidSect="00E50990">
          <w:headerReference w:type="even" r:id="rId10"/>
          <w:headerReference w:type="default" r:id="rId11"/>
          <w:footerReference w:type="default" r:id="rId12"/>
          <w:pgSz w:w="12240" w:h="15840"/>
          <w:pgMar w:top="1440" w:right="1440" w:bottom="1440" w:left="1440" w:header="720" w:footer="720" w:gutter="0"/>
          <w:cols w:space="720"/>
          <w:titlePg/>
          <w:docGrid w:linePitch="360"/>
        </w:sectPr>
      </w:pPr>
    </w:p>
    <w:p w14:paraId="7938CAE7" w14:textId="04B9C497" w:rsidR="001D3ABE" w:rsidRPr="002538F4" w:rsidRDefault="001D3ABE" w:rsidP="002538F4">
      <w:pPr>
        <w:spacing w:after="0"/>
        <w:jc w:val="center"/>
        <w:rPr>
          <w:rFonts w:cs="Segoe UI"/>
          <w:i/>
          <w:sz w:val="6"/>
          <w:szCs w:val="6"/>
        </w:rPr>
      </w:pPr>
    </w:p>
    <w:sdt>
      <w:sdtPr>
        <w:rPr>
          <w:rFonts w:ascii="Segoe UI" w:eastAsiaTheme="minorHAnsi" w:hAnsi="Segoe UI" w:cstheme="minorBidi"/>
          <w:b w:val="0"/>
          <w:bCs w:val="0"/>
          <w:color w:val="auto"/>
          <w:sz w:val="22"/>
          <w:szCs w:val="22"/>
          <w:lang w:eastAsia="en-US"/>
        </w:rPr>
        <w:id w:val="-294685738"/>
        <w:docPartObj>
          <w:docPartGallery w:val="Table of Contents"/>
          <w:docPartUnique/>
        </w:docPartObj>
      </w:sdtPr>
      <w:sdtEndPr>
        <w:rPr>
          <w:noProof/>
        </w:rPr>
      </w:sdtEndPr>
      <w:sdtContent>
        <w:p w14:paraId="12CCF5EF" w14:textId="77777777" w:rsidR="00D2264D" w:rsidRPr="00DD38A9" w:rsidRDefault="00D2264D" w:rsidP="00311757">
          <w:pPr>
            <w:pStyle w:val="TOCHeading"/>
          </w:pPr>
          <w:r w:rsidRPr="00DD38A9">
            <w:t>Contents</w:t>
          </w:r>
        </w:p>
        <w:p w14:paraId="5C038898" w14:textId="77777777" w:rsidR="00D2264D" w:rsidRPr="00DD38A9" w:rsidRDefault="00D2264D" w:rsidP="009769AD">
          <w:pPr>
            <w:rPr>
              <w:rFonts w:cs="Segoe UI"/>
              <w:lang w:eastAsia="ja-JP"/>
            </w:rPr>
          </w:pPr>
        </w:p>
        <w:p w14:paraId="53467126" w14:textId="77777777" w:rsidR="002D197A" w:rsidRDefault="00D2264D">
          <w:pPr>
            <w:pStyle w:val="TOC1"/>
            <w:tabs>
              <w:tab w:val="left" w:pos="440"/>
              <w:tab w:val="right" w:leader="dot" w:pos="9350"/>
            </w:tabs>
            <w:rPr>
              <w:rFonts w:asciiTheme="minorHAnsi" w:eastAsiaTheme="minorEastAsia" w:hAnsiTheme="minorHAnsi"/>
              <w:noProof/>
              <w:sz w:val="24"/>
              <w:szCs w:val="24"/>
            </w:rPr>
          </w:pPr>
          <w:r w:rsidRPr="002E4EFE">
            <w:rPr>
              <w:rFonts w:asciiTheme="minorHAnsi" w:hAnsiTheme="minorHAnsi" w:cstheme="minorHAnsi"/>
            </w:rPr>
            <w:fldChar w:fldCharType="begin"/>
          </w:r>
          <w:r w:rsidRPr="002E4EFE">
            <w:rPr>
              <w:rFonts w:asciiTheme="minorHAnsi" w:hAnsiTheme="minorHAnsi" w:cstheme="minorHAnsi"/>
            </w:rPr>
            <w:instrText xml:space="preserve"> TOC \o "1-3" \h \z \u </w:instrText>
          </w:r>
          <w:r w:rsidRPr="002E4EFE">
            <w:rPr>
              <w:rFonts w:asciiTheme="minorHAnsi" w:hAnsiTheme="minorHAnsi" w:cstheme="minorHAnsi"/>
            </w:rPr>
            <w:fldChar w:fldCharType="separate"/>
          </w:r>
          <w:hyperlink w:anchor="_Toc501097023" w:history="1">
            <w:r w:rsidR="002D197A" w:rsidRPr="006215CF">
              <w:rPr>
                <w:rStyle w:val="Hyperlink"/>
                <w:noProof/>
              </w:rPr>
              <w:t>1</w:t>
            </w:r>
            <w:r w:rsidR="002D197A">
              <w:rPr>
                <w:rFonts w:asciiTheme="minorHAnsi" w:eastAsiaTheme="minorEastAsia" w:hAnsiTheme="minorHAnsi"/>
                <w:noProof/>
                <w:sz w:val="24"/>
                <w:szCs w:val="24"/>
              </w:rPr>
              <w:tab/>
            </w:r>
            <w:r w:rsidR="002D197A" w:rsidRPr="006215CF">
              <w:rPr>
                <w:rStyle w:val="Hyperlink"/>
                <w:noProof/>
              </w:rPr>
              <w:t>Executive summary</w:t>
            </w:r>
            <w:r w:rsidR="002D197A">
              <w:rPr>
                <w:noProof/>
                <w:webHidden/>
              </w:rPr>
              <w:tab/>
            </w:r>
            <w:r w:rsidR="002D197A">
              <w:rPr>
                <w:noProof/>
                <w:webHidden/>
              </w:rPr>
              <w:fldChar w:fldCharType="begin"/>
            </w:r>
            <w:r w:rsidR="002D197A">
              <w:rPr>
                <w:noProof/>
                <w:webHidden/>
              </w:rPr>
              <w:instrText xml:space="preserve"> PAGEREF _Toc501097023 \h </w:instrText>
            </w:r>
            <w:r w:rsidR="002D197A">
              <w:rPr>
                <w:noProof/>
                <w:webHidden/>
              </w:rPr>
            </w:r>
            <w:r w:rsidR="002D197A">
              <w:rPr>
                <w:noProof/>
                <w:webHidden/>
              </w:rPr>
              <w:fldChar w:fldCharType="separate"/>
            </w:r>
            <w:r w:rsidR="002D197A">
              <w:rPr>
                <w:noProof/>
                <w:webHidden/>
              </w:rPr>
              <w:t>7</w:t>
            </w:r>
            <w:r w:rsidR="002D197A">
              <w:rPr>
                <w:noProof/>
                <w:webHidden/>
              </w:rPr>
              <w:fldChar w:fldCharType="end"/>
            </w:r>
          </w:hyperlink>
        </w:p>
        <w:p w14:paraId="506FADEC"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24" w:history="1">
            <w:r w:rsidRPr="006215CF">
              <w:rPr>
                <w:rStyle w:val="Hyperlink"/>
                <w:noProof/>
              </w:rPr>
              <w:t>2</w:t>
            </w:r>
            <w:r>
              <w:rPr>
                <w:rFonts w:asciiTheme="minorHAnsi" w:eastAsiaTheme="minorEastAsia" w:hAnsiTheme="minorHAnsi"/>
                <w:noProof/>
                <w:sz w:val="24"/>
                <w:szCs w:val="24"/>
              </w:rPr>
              <w:tab/>
            </w:r>
            <w:r w:rsidRPr="006215CF">
              <w:rPr>
                <w:rStyle w:val="Hyperlink"/>
                <w:noProof/>
              </w:rPr>
              <w:t>Introduction &amp; methodology</w:t>
            </w:r>
            <w:r>
              <w:rPr>
                <w:noProof/>
                <w:webHidden/>
              </w:rPr>
              <w:tab/>
            </w:r>
            <w:r>
              <w:rPr>
                <w:noProof/>
                <w:webHidden/>
              </w:rPr>
              <w:fldChar w:fldCharType="begin"/>
            </w:r>
            <w:r>
              <w:rPr>
                <w:noProof/>
                <w:webHidden/>
              </w:rPr>
              <w:instrText xml:space="preserve"> PAGEREF _Toc501097024 \h </w:instrText>
            </w:r>
            <w:r>
              <w:rPr>
                <w:noProof/>
                <w:webHidden/>
              </w:rPr>
            </w:r>
            <w:r>
              <w:rPr>
                <w:noProof/>
                <w:webHidden/>
              </w:rPr>
              <w:fldChar w:fldCharType="separate"/>
            </w:r>
            <w:r>
              <w:rPr>
                <w:noProof/>
                <w:webHidden/>
              </w:rPr>
              <w:t>9</w:t>
            </w:r>
            <w:r>
              <w:rPr>
                <w:noProof/>
                <w:webHidden/>
              </w:rPr>
              <w:fldChar w:fldCharType="end"/>
            </w:r>
          </w:hyperlink>
        </w:p>
        <w:p w14:paraId="67701EE2"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25" w:history="1">
            <w:r w:rsidRPr="006215CF">
              <w:rPr>
                <w:rStyle w:val="Hyperlink"/>
                <w:noProof/>
              </w:rPr>
              <w:t>3</w:t>
            </w:r>
            <w:r>
              <w:rPr>
                <w:rFonts w:asciiTheme="minorHAnsi" w:eastAsiaTheme="minorEastAsia" w:hAnsiTheme="minorHAnsi"/>
                <w:noProof/>
                <w:sz w:val="24"/>
                <w:szCs w:val="24"/>
              </w:rPr>
              <w:tab/>
            </w:r>
            <w:r w:rsidRPr="006215CF">
              <w:rPr>
                <w:rStyle w:val="Hyperlink"/>
                <w:noProof/>
              </w:rPr>
              <w:t>Grid power and grid expansion</w:t>
            </w:r>
            <w:r>
              <w:rPr>
                <w:noProof/>
                <w:webHidden/>
              </w:rPr>
              <w:tab/>
            </w:r>
            <w:r>
              <w:rPr>
                <w:noProof/>
                <w:webHidden/>
              </w:rPr>
              <w:fldChar w:fldCharType="begin"/>
            </w:r>
            <w:r>
              <w:rPr>
                <w:noProof/>
                <w:webHidden/>
              </w:rPr>
              <w:instrText xml:space="preserve"> PAGEREF _Toc501097025 \h </w:instrText>
            </w:r>
            <w:r>
              <w:rPr>
                <w:noProof/>
                <w:webHidden/>
              </w:rPr>
            </w:r>
            <w:r>
              <w:rPr>
                <w:noProof/>
                <w:webHidden/>
              </w:rPr>
              <w:fldChar w:fldCharType="separate"/>
            </w:r>
            <w:r>
              <w:rPr>
                <w:noProof/>
                <w:webHidden/>
              </w:rPr>
              <w:t>12</w:t>
            </w:r>
            <w:r>
              <w:rPr>
                <w:noProof/>
                <w:webHidden/>
              </w:rPr>
              <w:fldChar w:fldCharType="end"/>
            </w:r>
          </w:hyperlink>
        </w:p>
        <w:p w14:paraId="535DB05F"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26" w:history="1">
            <w:r w:rsidRPr="006215CF">
              <w:rPr>
                <w:rStyle w:val="Hyperlink"/>
                <w:noProof/>
              </w:rPr>
              <w:t>3.1</w:t>
            </w:r>
            <w:r>
              <w:rPr>
                <w:rFonts w:asciiTheme="minorHAnsi" w:eastAsiaTheme="minorEastAsia" w:hAnsiTheme="minorHAnsi"/>
                <w:noProof/>
                <w:sz w:val="24"/>
                <w:szCs w:val="24"/>
              </w:rPr>
              <w:tab/>
            </w:r>
            <w:r w:rsidRPr="006215CF">
              <w:rPr>
                <w:rStyle w:val="Hyperlink"/>
                <w:noProof/>
              </w:rPr>
              <w:t>Generation &amp; consumption</w:t>
            </w:r>
            <w:r>
              <w:rPr>
                <w:noProof/>
                <w:webHidden/>
              </w:rPr>
              <w:tab/>
            </w:r>
            <w:r>
              <w:rPr>
                <w:noProof/>
                <w:webHidden/>
              </w:rPr>
              <w:fldChar w:fldCharType="begin"/>
            </w:r>
            <w:r>
              <w:rPr>
                <w:noProof/>
                <w:webHidden/>
              </w:rPr>
              <w:instrText xml:space="preserve"> PAGEREF _Toc501097026 \h </w:instrText>
            </w:r>
            <w:r>
              <w:rPr>
                <w:noProof/>
                <w:webHidden/>
              </w:rPr>
            </w:r>
            <w:r>
              <w:rPr>
                <w:noProof/>
                <w:webHidden/>
              </w:rPr>
              <w:fldChar w:fldCharType="separate"/>
            </w:r>
            <w:r>
              <w:rPr>
                <w:noProof/>
                <w:webHidden/>
              </w:rPr>
              <w:t>15</w:t>
            </w:r>
            <w:r>
              <w:rPr>
                <w:noProof/>
                <w:webHidden/>
              </w:rPr>
              <w:fldChar w:fldCharType="end"/>
            </w:r>
          </w:hyperlink>
        </w:p>
        <w:p w14:paraId="4C441868"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27" w:history="1">
            <w:r w:rsidRPr="006215CF">
              <w:rPr>
                <w:rStyle w:val="Hyperlink"/>
                <w:noProof/>
              </w:rPr>
              <w:t>3.2</w:t>
            </w:r>
            <w:r>
              <w:rPr>
                <w:rFonts w:asciiTheme="minorHAnsi" w:eastAsiaTheme="minorEastAsia" w:hAnsiTheme="minorHAnsi"/>
                <w:noProof/>
                <w:sz w:val="24"/>
                <w:szCs w:val="24"/>
              </w:rPr>
              <w:tab/>
            </w:r>
            <w:r w:rsidRPr="006215CF">
              <w:rPr>
                <w:rStyle w:val="Hyperlink"/>
                <w:noProof/>
              </w:rPr>
              <w:t>The current grid network and efforts to increase grid access</w:t>
            </w:r>
            <w:r>
              <w:rPr>
                <w:noProof/>
                <w:webHidden/>
              </w:rPr>
              <w:tab/>
            </w:r>
            <w:r>
              <w:rPr>
                <w:noProof/>
                <w:webHidden/>
              </w:rPr>
              <w:fldChar w:fldCharType="begin"/>
            </w:r>
            <w:r>
              <w:rPr>
                <w:noProof/>
                <w:webHidden/>
              </w:rPr>
              <w:instrText xml:space="preserve"> PAGEREF _Toc501097027 \h </w:instrText>
            </w:r>
            <w:r>
              <w:rPr>
                <w:noProof/>
                <w:webHidden/>
              </w:rPr>
            </w:r>
            <w:r>
              <w:rPr>
                <w:noProof/>
                <w:webHidden/>
              </w:rPr>
              <w:fldChar w:fldCharType="separate"/>
            </w:r>
            <w:r>
              <w:rPr>
                <w:noProof/>
                <w:webHidden/>
              </w:rPr>
              <w:t>16</w:t>
            </w:r>
            <w:r>
              <w:rPr>
                <w:noProof/>
                <w:webHidden/>
              </w:rPr>
              <w:fldChar w:fldCharType="end"/>
            </w:r>
          </w:hyperlink>
        </w:p>
        <w:p w14:paraId="6B693D33"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28" w:history="1">
            <w:r w:rsidRPr="006215CF">
              <w:rPr>
                <w:rStyle w:val="Hyperlink"/>
                <w:noProof/>
              </w:rPr>
              <w:t>4</w:t>
            </w:r>
            <w:r>
              <w:rPr>
                <w:rFonts w:asciiTheme="minorHAnsi" w:eastAsiaTheme="minorEastAsia" w:hAnsiTheme="minorHAnsi"/>
                <w:noProof/>
                <w:sz w:val="24"/>
                <w:szCs w:val="24"/>
              </w:rPr>
              <w:tab/>
            </w:r>
            <w:r w:rsidRPr="006215CF">
              <w:rPr>
                <w:rStyle w:val="Hyperlink"/>
                <w:noProof/>
              </w:rPr>
              <w:t>The market opportunity for stand-alone solar systems</w:t>
            </w:r>
            <w:r>
              <w:rPr>
                <w:noProof/>
                <w:webHidden/>
              </w:rPr>
              <w:tab/>
            </w:r>
            <w:r>
              <w:rPr>
                <w:noProof/>
                <w:webHidden/>
              </w:rPr>
              <w:fldChar w:fldCharType="begin"/>
            </w:r>
            <w:r>
              <w:rPr>
                <w:noProof/>
                <w:webHidden/>
              </w:rPr>
              <w:instrText xml:space="preserve"> PAGEREF _Toc501097028 \h </w:instrText>
            </w:r>
            <w:r>
              <w:rPr>
                <w:noProof/>
                <w:webHidden/>
              </w:rPr>
            </w:r>
            <w:r>
              <w:rPr>
                <w:noProof/>
                <w:webHidden/>
              </w:rPr>
              <w:fldChar w:fldCharType="separate"/>
            </w:r>
            <w:r>
              <w:rPr>
                <w:noProof/>
                <w:webHidden/>
              </w:rPr>
              <w:t>20</w:t>
            </w:r>
            <w:r>
              <w:rPr>
                <w:noProof/>
                <w:webHidden/>
              </w:rPr>
              <w:fldChar w:fldCharType="end"/>
            </w:r>
          </w:hyperlink>
        </w:p>
        <w:p w14:paraId="3F5DAB30"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29" w:history="1">
            <w:r w:rsidRPr="006215CF">
              <w:rPr>
                <w:rStyle w:val="Hyperlink"/>
                <w:noProof/>
              </w:rPr>
              <w:t>4.1</w:t>
            </w:r>
            <w:r>
              <w:rPr>
                <w:rFonts w:asciiTheme="minorHAnsi" w:eastAsiaTheme="minorEastAsia" w:hAnsiTheme="minorHAnsi"/>
                <w:noProof/>
                <w:sz w:val="24"/>
                <w:szCs w:val="24"/>
              </w:rPr>
              <w:tab/>
            </w:r>
            <w:r w:rsidRPr="006215CF">
              <w:rPr>
                <w:rStyle w:val="Hyperlink"/>
                <w:noProof/>
              </w:rPr>
              <w:t>Households</w:t>
            </w:r>
            <w:r>
              <w:rPr>
                <w:noProof/>
                <w:webHidden/>
              </w:rPr>
              <w:tab/>
            </w:r>
            <w:r>
              <w:rPr>
                <w:noProof/>
                <w:webHidden/>
              </w:rPr>
              <w:fldChar w:fldCharType="begin"/>
            </w:r>
            <w:r>
              <w:rPr>
                <w:noProof/>
                <w:webHidden/>
              </w:rPr>
              <w:instrText xml:space="preserve"> PAGEREF _Toc501097029 \h </w:instrText>
            </w:r>
            <w:r>
              <w:rPr>
                <w:noProof/>
                <w:webHidden/>
              </w:rPr>
            </w:r>
            <w:r>
              <w:rPr>
                <w:noProof/>
                <w:webHidden/>
              </w:rPr>
              <w:fldChar w:fldCharType="separate"/>
            </w:r>
            <w:r>
              <w:rPr>
                <w:noProof/>
                <w:webHidden/>
              </w:rPr>
              <w:t>23</w:t>
            </w:r>
            <w:r>
              <w:rPr>
                <w:noProof/>
                <w:webHidden/>
              </w:rPr>
              <w:fldChar w:fldCharType="end"/>
            </w:r>
          </w:hyperlink>
        </w:p>
        <w:p w14:paraId="077D2C61"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0" w:history="1">
            <w:r w:rsidRPr="006215CF">
              <w:rPr>
                <w:rStyle w:val="Hyperlink"/>
                <w:noProof/>
              </w:rPr>
              <w:t>4.1.1</w:t>
            </w:r>
            <w:r>
              <w:rPr>
                <w:rFonts w:asciiTheme="minorHAnsi" w:eastAsiaTheme="minorEastAsia" w:hAnsiTheme="minorHAnsi"/>
                <w:noProof/>
                <w:sz w:val="24"/>
                <w:szCs w:val="24"/>
              </w:rPr>
              <w:tab/>
            </w:r>
            <w:r w:rsidRPr="006215CF">
              <w:rPr>
                <w:rStyle w:val="Hyperlink"/>
                <w:noProof/>
              </w:rPr>
              <w:t>Market for solar home devices with no consumer finance</w:t>
            </w:r>
            <w:r>
              <w:rPr>
                <w:noProof/>
                <w:webHidden/>
              </w:rPr>
              <w:tab/>
            </w:r>
            <w:r>
              <w:rPr>
                <w:noProof/>
                <w:webHidden/>
              </w:rPr>
              <w:fldChar w:fldCharType="begin"/>
            </w:r>
            <w:r>
              <w:rPr>
                <w:noProof/>
                <w:webHidden/>
              </w:rPr>
              <w:instrText xml:space="preserve"> PAGEREF _Toc501097030 \h </w:instrText>
            </w:r>
            <w:r>
              <w:rPr>
                <w:noProof/>
                <w:webHidden/>
              </w:rPr>
            </w:r>
            <w:r>
              <w:rPr>
                <w:noProof/>
                <w:webHidden/>
              </w:rPr>
              <w:fldChar w:fldCharType="separate"/>
            </w:r>
            <w:r>
              <w:rPr>
                <w:noProof/>
                <w:webHidden/>
              </w:rPr>
              <w:t>26</w:t>
            </w:r>
            <w:r>
              <w:rPr>
                <w:noProof/>
                <w:webHidden/>
              </w:rPr>
              <w:fldChar w:fldCharType="end"/>
            </w:r>
          </w:hyperlink>
        </w:p>
        <w:p w14:paraId="681C33D7"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1" w:history="1">
            <w:r w:rsidRPr="006215CF">
              <w:rPr>
                <w:rStyle w:val="Hyperlink"/>
                <w:noProof/>
              </w:rPr>
              <w:t>4.1.2</w:t>
            </w:r>
            <w:r>
              <w:rPr>
                <w:rFonts w:asciiTheme="minorHAnsi" w:eastAsiaTheme="minorEastAsia" w:hAnsiTheme="minorHAnsi"/>
                <w:noProof/>
                <w:sz w:val="24"/>
                <w:szCs w:val="24"/>
              </w:rPr>
              <w:tab/>
            </w:r>
            <w:r w:rsidRPr="006215CF">
              <w:rPr>
                <w:rStyle w:val="Hyperlink"/>
                <w:noProof/>
              </w:rPr>
              <w:t>Market for SL and SHS with consumer financing</w:t>
            </w:r>
            <w:r>
              <w:rPr>
                <w:noProof/>
                <w:webHidden/>
              </w:rPr>
              <w:tab/>
            </w:r>
            <w:r>
              <w:rPr>
                <w:noProof/>
                <w:webHidden/>
              </w:rPr>
              <w:fldChar w:fldCharType="begin"/>
            </w:r>
            <w:r>
              <w:rPr>
                <w:noProof/>
                <w:webHidden/>
              </w:rPr>
              <w:instrText xml:space="preserve"> PAGEREF _Toc501097031 \h </w:instrText>
            </w:r>
            <w:r>
              <w:rPr>
                <w:noProof/>
                <w:webHidden/>
              </w:rPr>
            </w:r>
            <w:r>
              <w:rPr>
                <w:noProof/>
                <w:webHidden/>
              </w:rPr>
              <w:fldChar w:fldCharType="separate"/>
            </w:r>
            <w:r>
              <w:rPr>
                <w:noProof/>
                <w:webHidden/>
              </w:rPr>
              <w:t>27</w:t>
            </w:r>
            <w:r>
              <w:rPr>
                <w:noProof/>
                <w:webHidden/>
              </w:rPr>
              <w:fldChar w:fldCharType="end"/>
            </w:r>
          </w:hyperlink>
        </w:p>
        <w:p w14:paraId="1CFDBE90"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2" w:history="1">
            <w:r w:rsidRPr="006215CF">
              <w:rPr>
                <w:rStyle w:val="Hyperlink"/>
                <w:noProof/>
              </w:rPr>
              <w:t>4.1.3</w:t>
            </w:r>
            <w:r>
              <w:rPr>
                <w:rFonts w:asciiTheme="minorHAnsi" w:eastAsiaTheme="minorEastAsia" w:hAnsiTheme="minorHAnsi"/>
                <w:noProof/>
                <w:sz w:val="24"/>
                <w:szCs w:val="24"/>
              </w:rPr>
              <w:tab/>
            </w:r>
            <w:r w:rsidRPr="006215CF">
              <w:rPr>
                <w:rStyle w:val="Hyperlink"/>
                <w:noProof/>
              </w:rPr>
              <w:t>Consumer benefits from switching to solar</w:t>
            </w:r>
            <w:r>
              <w:rPr>
                <w:noProof/>
                <w:webHidden/>
              </w:rPr>
              <w:tab/>
            </w:r>
            <w:r>
              <w:rPr>
                <w:noProof/>
                <w:webHidden/>
              </w:rPr>
              <w:fldChar w:fldCharType="begin"/>
            </w:r>
            <w:r>
              <w:rPr>
                <w:noProof/>
                <w:webHidden/>
              </w:rPr>
              <w:instrText xml:space="preserve"> PAGEREF _Toc501097032 \h </w:instrText>
            </w:r>
            <w:r>
              <w:rPr>
                <w:noProof/>
                <w:webHidden/>
              </w:rPr>
            </w:r>
            <w:r>
              <w:rPr>
                <w:noProof/>
                <w:webHidden/>
              </w:rPr>
              <w:fldChar w:fldCharType="separate"/>
            </w:r>
            <w:r>
              <w:rPr>
                <w:noProof/>
                <w:webHidden/>
              </w:rPr>
              <w:t>29</w:t>
            </w:r>
            <w:r>
              <w:rPr>
                <w:noProof/>
                <w:webHidden/>
              </w:rPr>
              <w:fldChar w:fldCharType="end"/>
            </w:r>
          </w:hyperlink>
        </w:p>
        <w:p w14:paraId="4D844CAA"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3" w:history="1">
            <w:r w:rsidRPr="006215CF">
              <w:rPr>
                <w:rStyle w:val="Hyperlink"/>
                <w:noProof/>
              </w:rPr>
              <w:t>4.1.4</w:t>
            </w:r>
            <w:r>
              <w:rPr>
                <w:rFonts w:asciiTheme="minorHAnsi" w:eastAsiaTheme="minorEastAsia" w:hAnsiTheme="minorHAnsi"/>
                <w:noProof/>
                <w:sz w:val="24"/>
                <w:szCs w:val="24"/>
              </w:rPr>
              <w:tab/>
            </w:r>
            <w:r w:rsidRPr="006215CF">
              <w:rPr>
                <w:rStyle w:val="Hyperlink"/>
                <w:noProof/>
              </w:rPr>
              <w:t>The market impact of current customs duties</w:t>
            </w:r>
            <w:r>
              <w:rPr>
                <w:noProof/>
                <w:webHidden/>
              </w:rPr>
              <w:tab/>
            </w:r>
            <w:r>
              <w:rPr>
                <w:noProof/>
                <w:webHidden/>
              </w:rPr>
              <w:fldChar w:fldCharType="begin"/>
            </w:r>
            <w:r>
              <w:rPr>
                <w:noProof/>
                <w:webHidden/>
              </w:rPr>
              <w:instrText xml:space="preserve"> PAGEREF _Toc501097033 \h </w:instrText>
            </w:r>
            <w:r>
              <w:rPr>
                <w:noProof/>
                <w:webHidden/>
              </w:rPr>
            </w:r>
            <w:r>
              <w:rPr>
                <w:noProof/>
                <w:webHidden/>
              </w:rPr>
              <w:fldChar w:fldCharType="separate"/>
            </w:r>
            <w:r>
              <w:rPr>
                <w:noProof/>
                <w:webHidden/>
              </w:rPr>
              <w:t>31</w:t>
            </w:r>
            <w:r>
              <w:rPr>
                <w:noProof/>
                <w:webHidden/>
              </w:rPr>
              <w:fldChar w:fldCharType="end"/>
            </w:r>
          </w:hyperlink>
        </w:p>
        <w:p w14:paraId="677DF1FE"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34" w:history="1">
            <w:r w:rsidRPr="006215CF">
              <w:rPr>
                <w:rStyle w:val="Hyperlink"/>
                <w:noProof/>
              </w:rPr>
              <w:t>4.2</w:t>
            </w:r>
            <w:r>
              <w:rPr>
                <w:rFonts w:asciiTheme="minorHAnsi" w:eastAsiaTheme="minorEastAsia" w:hAnsiTheme="minorHAnsi"/>
                <w:noProof/>
                <w:sz w:val="24"/>
                <w:szCs w:val="24"/>
              </w:rPr>
              <w:tab/>
            </w:r>
            <w:r w:rsidRPr="006215CF">
              <w:rPr>
                <w:rStyle w:val="Hyperlink"/>
                <w:noProof/>
              </w:rPr>
              <w:t>Public institutions (education, health &amp; governance)</w:t>
            </w:r>
            <w:r>
              <w:rPr>
                <w:noProof/>
                <w:webHidden/>
              </w:rPr>
              <w:tab/>
            </w:r>
            <w:r>
              <w:rPr>
                <w:noProof/>
                <w:webHidden/>
              </w:rPr>
              <w:fldChar w:fldCharType="begin"/>
            </w:r>
            <w:r>
              <w:rPr>
                <w:noProof/>
                <w:webHidden/>
              </w:rPr>
              <w:instrText xml:space="preserve"> PAGEREF _Toc501097034 \h </w:instrText>
            </w:r>
            <w:r>
              <w:rPr>
                <w:noProof/>
                <w:webHidden/>
              </w:rPr>
            </w:r>
            <w:r>
              <w:rPr>
                <w:noProof/>
                <w:webHidden/>
              </w:rPr>
              <w:fldChar w:fldCharType="separate"/>
            </w:r>
            <w:r>
              <w:rPr>
                <w:noProof/>
                <w:webHidden/>
              </w:rPr>
              <w:t>33</w:t>
            </w:r>
            <w:r>
              <w:rPr>
                <w:noProof/>
                <w:webHidden/>
              </w:rPr>
              <w:fldChar w:fldCharType="end"/>
            </w:r>
          </w:hyperlink>
        </w:p>
        <w:p w14:paraId="65B98E1D"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5" w:history="1">
            <w:r w:rsidRPr="006215CF">
              <w:rPr>
                <w:rStyle w:val="Hyperlink"/>
                <w:noProof/>
              </w:rPr>
              <w:t>4.2.1</w:t>
            </w:r>
            <w:r>
              <w:rPr>
                <w:rFonts w:asciiTheme="minorHAnsi" w:eastAsiaTheme="minorEastAsia" w:hAnsiTheme="minorHAnsi"/>
                <w:noProof/>
                <w:sz w:val="24"/>
                <w:szCs w:val="24"/>
              </w:rPr>
              <w:tab/>
            </w:r>
            <w:r w:rsidRPr="006215CF">
              <w:rPr>
                <w:rStyle w:val="Hyperlink"/>
                <w:noProof/>
              </w:rPr>
              <w:t>Educational institutions</w:t>
            </w:r>
            <w:r>
              <w:rPr>
                <w:noProof/>
                <w:webHidden/>
              </w:rPr>
              <w:tab/>
            </w:r>
            <w:r>
              <w:rPr>
                <w:noProof/>
                <w:webHidden/>
              </w:rPr>
              <w:fldChar w:fldCharType="begin"/>
            </w:r>
            <w:r>
              <w:rPr>
                <w:noProof/>
                <w:webHidden/>
              </w:rPr>
              <w:instrText xml:space="preserve"> PAGEREF _Toc501097035 \h </w:instrText>
            </w:r>
            <w:r>
              <w:rPr>
                <w:noProof/>
                <w:webHidden/>
              </w:rPr>
            </w:r>
            <w:r>
              <w:rPr>
                <w:noProof/>
                <w:webHidden/>
              </w:rPr>
              <w:fldChar w:fldCharType="separate"/>
            </w:r>
            <w:r>
              <w:rPr>
                <w:noProof/>
                <w:webHidden/>
              </w:rPr>
              <w:t>33</w:t>
            </w:r>
            <w:r>
              <w:rPr>
                <w:noProof/>
                <w:webHidden/>
              </w:rPr>
              <w:fldChar w:fldCharType="end"/>
            </w:r>
          </w:hyperlink>
        </w:p>
        <w:p w14:paraId="1A8DDD82"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6" w:history="1">
            <w:r w:rsidRPr="006215CF">
              <w:rPr>
                <w:rStyle w:val="Hyperlink"/>
                <w:noProof/>
              </w:rPr>
              <w:t>4.2.2</w:t>
            </w:r>
            <w:r>
              <w:rPr>
                <w:rFonts w:asciiTheme="minorHAnsi" w:eastAsiaTheme="minorEastAsia" w:hAnsiTheme="minorHAnsi"/>
                <w:noProof/>
                <w:sz w:val="24"/>
                <w:szCs w:val="24"/>
              </w:rPr>
              <w:tab/>
            </w:r>
            <w:r w:rsidRPr="006215CF">
              <w:rPr>
                <w:rStyle w:val="Hyperlink"/>
                <w:noProof/>
              </w:rPr>
              <w:t>Health facilities</w:t>
            </w:r>
            <w:r>
              <w:rPr>
                <w:noProof/>
                <w:webHidden/>
              </w:rPr>
              <w:tab/>
            </w:r>
            <w:r>
              <w:rPr>
                <w:noProof/>
                <w:webHidden/>
              </w:rPr>
              <w:fldChar w:fldCharType="begin"/>
            </w:r>
            <w:r>
              <w:rPr>
                <w:noProof/>
                <w:webHidden/>
              </w:rPr>
              <w:instrText xml:space="preserve"> PAGEREF _Toc501097036 \h </w:instrText>
            </w:r>
            <w:r>
              <w:rPr>
                <w:noProof/>
                <w:webHidden/>
              </w:rPr>
            </w:r>
            <w:r>
              <w:rPr>
                <w:noProof/>
                <w:webHidden/>
              </w:rPr>
              <w:fldChar w:fldCharType="separate"/>
            </w:r>
            <w:r>
              <w:rPr>
                <w:noProof/>
                <w:webHidden/>
              </w:rPr>
              <w:t>36</w:t>
            </w:r>
            <w:r>
              <w:rPr>
                <w:noProof/>
                <w:webHidden/>
              </w:rPr>
              <w:fldChar w:fldCharType="end"/>
            </w:r>
          </w:hyperlink>
        </w:p>
        <w:p w14:paraId="4F777814"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7" w:history="1">
            <w:r w:rsidRPr="006215CF">
              <w:rPr>
                <w:rStyle w:val="Hyperlink"/>
                <w:noProof/>
              </w:rPr>
              <w:t>4.2.3</w:t>
            </w:r>
            <w:r>
              <w:rPr>
                <w:rFonts w:asciiTheme="minorHAnsi" w:eastAsiaTheme="minorEastAsia" w:hAnsiTheme="minorHAnsi"/>
                <w:noProof/>
                <w:sz w:val="24"/>
                <w:szCs w:val="24"/>
              </w:rPr>
              <w:tab/>
            </w:r>
            <w:r w:rsidRPr="006215CF">
              <w:rPr>
                <w:rStyle w:val="Hyperlink"/>
                <w:noProof/>
              </w:rPr>
              <w:t>Public buildings</w:t>
            </w:r>
            <w:r>
              <w:rPr>
                <w:noProof/>
                <w:webHidden/>
              </w:rPr>
              <w:tab/>
            </w:r>
            <w:r>
              <w:rPr>
                <w:noProof/>
                <w:webHidden/>
              </w:rPr>
              <w:fldChar w:fldCharType="begin"/>
            </w:r>
            <w:r>
              <w:rPr>
                <w:noProof/>
                <w:webHidden/>
              </w:rPr>
              <w:instrText xml:space="preserve"> PAGEREF _Toc501097037 \h </w:instrText>
            </w:r>
            <w:r>
              <w:rPr>
                <w:noProof/>
                <w:webHidden/>
              </w:rPr>
            </w:r>
            <w:r>
              <w:rPr>
                <w:noProof/>
                <w:webHidden/>
              </w:rPr>
              <w:fldChar w:fldCharType="separate"/>
            </w:r>
            <w:r>
              <w:rPr>
                <w:noProof/>
                <w:webHidden/>
              </w:rPr>
              <w:t>38</w:t>
            </w:r>
            <w:r>
              <w:rPr>
                <w:noProof/>
                <w:webHidden/>
              </w:rPr>
              <w:fldChar w:fldCharType="end"/>
            </w:r>
          </w:hyperlink>
        </w:p>
        <w:p w14:paraId="3546656B"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38" w:history="1">
            <w:r w:rsidRPr="006215CF">
              <w:rPr>
                <w:rStyle w:val="Hyperlink"/>
                <w:noProof/>
              </w:rPr>
              <w:t>4.3</w:t>
            </w:r>
            <w:r>
              <w:rPr>
                <w:rFonts w:asciiTheme="minorHAnsi" w:eastAsiaTheme="minorEastAsia" w:hAnsiTheme="minorHAnsi"/>
                <w:noProof/>
                <w:sz w:val="24"/>
                <w:szCs w:val="24"/>
              </w:rPr>
              <w:tab/>
            </w:r>
            <w:r w:rsidRPr="006215CF">
              <w:rPr>
                <w:rStyle w:val="Hyperlink"/>
                <w:noProof/>
              </w:rPr>
              <w:t>Agricultural irrigation</w:t>
            </w:r>
            <w:r>
              <w:rPr>
                <w:noProof/>
                <w:webHidden/>
              </w:rPr>
              <w:tab/>
            </w:r>
            <w:r>
              <w:rPr>
                <w:noProof/>
                <w:webHidden/>
              </w:rPr>
              <w:fldChar w:fldCharType="begin"/>
            </w:r>
            <w:r>
              <w:rPr>
                <w:noProof/>
                <w:webHidden/>
              </w:rPr>
              <w:instrText xml:space="preserve"> PAGEREF _Toc501097038 \h </w:instrText>
            </w:r>
            <w:r>
              <w:rPr>
                <w:noProof/>
                <w:webHidden/>
              </w:rPr>
            </w:r>
            <w:r>
              <w:rPr>
                <w:noProof/>
                <w:webHidden/>
              </w:rPr>
              <w:fldChar w:fldCharType="separate"/>
            </w:r>
            <w:r>
              <w:rPr>
                <w:noProof/>
                <w:webHidden/>
              </w:rPr>
              <w:t>40</w:t>
            </w:r>
            <w:r>
              <w:rPr>
                <w:noProof/>
                <w:webHidden/>
              </w:rPr>
              <w:fldChar w:fldCharType="end"/>
            </w:r>
          </w:hyperlink>
        </w:p>
        <w:p w14:paraId="68AD7EA7"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39" w:history="1">
            <w:r w:rsidRPr="006215CF">
              <w:rPr>
                <w:rStyle w:val="Hyperlink"/>
                <w:noProof/>
              </w:rPr>
              <w:t>4.3.1</w:t>
            </w:r>
            <w:r>
              <w:rPr>
                <w:rFonts w:asciiTheme="minorHAnsi" w:eastAsiaTheme="minorEastAsia" w:hAnsiTheme="minorHAnsi"/>
                <w:noProof/>
                <w:sz w:val="24"/>
                <w:szCs w:val="24"/>
              </w:rPr>
              <w:tab/>
            </w:r>
            <w:r w:rsidRPr="006215CF">
              <w:rPr>
                <w:rStyle w:val="Hyperlink"/>
                <w:noProof/>
              </w:rPr>
              <w:t>Large irrigation schemes (ONAHA)</w:t>
            </w:r>
            <w:r>
              <w:rPr>
                <w:noProof/>
                <w:webHidden/>
              </w:rPr>
              <w:tab/>
            </w:r>
            <w:r>
              <w:rPr>
                <w:noProof/>
                <w:webHidden/>
              </w:rPr>
              <w:fldChar w:fldCharType="begin"/>
            </w:r>
            <w:r>
              <w:rPr>
                <w:noProof/>
                <w:webHidden/>
              </w:rPr>
              <w:instrText xml:space="preserve"> PAGEREF _Toc501097039 \h </w:instrText>
            </w:r>
            <w:r>
              <w:rPr>
                <w:noProof/>
                <w:webHidden/>
              </w:rPr>
            </w:r>
            <w:r>
              <w:rPr>
                <w:noProof/>
                <w:webHidden/>
              </w:rPr>
              <w:fldChar w:fldCharType="separate"/>
            </w:r>
            <w:r>
              <w:rPr>
                <w:noProof/>
                <w:webHidden/>
              </w:rPr>
              <w:t>41</w:t>
            </w:r>
            <w:r>
              <w:rPr>
                <w:noProof/>
                <w:webHidden/>
              </w:rPr>
              <w:fldChar w:fldCharType="end"/>
            </w:r>
          </w:hyperlink>
        </w:p>
        <w:p w14:paraId="62E0C321" w14:textId="77777777" w:rsidR="002D197A" w:rsidRDefault="002D197A">
          <w:pPr>
            <w:pStyle w:val="TOC3"/>
            <w:tabs>
              <w:tab w:val="left" w:pos="1200"/>
              <w:tab w:val="right" w:leader="dot" w:pos="9350"/>
            </w:tabs>
            <w:rPr>
              <w:rFonts w:asciiTheme="minorHAnsi" w:eastAsiaTheme="minorEastAsia" w:hAnsiTheme="minorHAnsi"/>
              <w:noProof/>
              <w:sz w:val="24"/>
              <w:szCs w:val="24"/>
            </w:rPr>
          </w:pPr>
          <w:hyperlink w:anchor="_Toc501097040" w:history="1">
            <w:r w:rsidRPr="006215CF">
              <w:rPr>
                <w:rStyle w:val="Hyperlink"/>
                <w:noProof/>
              </w:rPr>
              <w:t>4.3.2</w:t>
            </w:r>
            <w:r>
              <w:rPr>
                <w:rFonts w:asciiTheme="minorHAnsi" w:eastAsiaTheme="minorEastAsia" w:hAnsiTheme="minorHAnsi"/>
                <w:noProof/>
                <w:sz w:val="24"/>
                <w:szCs w:val="24"/>
              </w:rPr>
              <w:tab/>
            </w:r>
            <w:r w:rsidRPr="006215CF">
              <w:rPr>
                <w:rStyle w:val="Hyperlink"/>
                <w:noProof/>
              </w:rPr>
              <w:t>Small scale, individual irrigation schemes</w:t>
            </w:r>
            <w:r>
              <w:rPr>
                <w:noProof/>
                <w:webHidden/>
              </w:rPr>
              <w:tab/>
            </w:r>
            <w:r>
              <w:rPr>
                <w:noProof/>
                <w:webHidden/>
              </w:rPr>
              <w:fldChar w:fldCharType="begin"/>
            </w:r>
            <w:r>
              <w:rPr>
                <w:noProof/>
                <w:webHidden/>
              </w:rPr>
              <w:instrText xml:space="preserve"> PAGEREF _Toc501097040 \h </w:instrText>
            </w:r>
            <w:r>
              <w:rPr>
                <w:noProof/>
                <w:webHidden/>
              </w:rPr>
            </w:r>
            <w:r>
              <w:rPr>
                <w:noProof/>
                <w:webHidden/>
              </w:rPr>
              <w:fldChar w:fldCharType="separate"/>
            </w:r>
            <w:r>
              <w:rPr>
                <w:noProof/>
                <w:webHidden/>
              </w:rPr>
              <w:t>44</w:t>
            </w:r>
            <w:r>
              <w:rPr>
                <w:noProof/>
                <w:webHidden/>
              </w:rPr>
              <w:fldChar w:fldCharType="end"/>
            </w:r>
          </w:hyperlink>
        </w:p>
        <w:p w14:paraId="63AAA97E"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1" w:history="1">
            <w:r w:rsidRPr="006215CF">
              <w:rPr>
                <w:rStyle w:val="Hyperlink"/>
                <w:noProof/>
              </w:rPr>
              <w:t>4.4</w:t>
            </w:r>
            <w:r>
              <w:rPr>
                <w:rFonts w:asciiTheme="minorHAnsi" w:eastAsiaTheme="minorEastAsia" w:hAnsiTheme="minorHAnsi"/>
                <w:noProof/>
                <w:sz w:val="24"/>
                <w:szCs w:val="24"/>
              </w:rPr>
              <w:tab/>
            </w:r>
            <w:r w:rsidRPr="006215CF">
              <w:rPr>
                <w:rStyle w:val="Hyperlink"/>
                <w:noProof/>
              </w:rPr>
              <w:t>Crop processing</w:t>
            </w:r>
            <w:r>
              <w:rPr>
                <w:noProof/>
                <w:webHidden/>
              </w:rPr>
              <w:tab/>
            </w:r>
            <w:r>
              <w:rPr>
                <w:noProof/>
                <w:webHidden/>
              </w:rPr>
              <w:fldChar w:fldCharType="begin"/>
            </w:r>
            <w:r>
              <w:rPr>
                <w:noProof/>
                <w:webHidden/>
              </w:rPr>
              <w:instrText xml:space="preserve"> PAGEREF _Toc501097041 \h </w:instrText>
            </w:r>
            <w:r>
              <w:rPr>
                <w:noProof/>
                <w:webHidden/>
              </w:rPr>
            </w:r>
            <w:r>
              <w:rPr>
                <w:noProof/>
                <w:webHidden/>
              </w:rPr>
              <w:fldChar w:fldCharType="separate"/>
            </w:r>
            <w:r>
              <w:rPr>
                <w:noProof/>
                <w:webHidden/>
              </w:rPr>
              <w:t>48</w:t>
            </w:r>
            <w:r>
              <w:rPr>
                <w:noProof/>
                <w:webHidden/>
              </w:rPr>
              <w:fldChar w:fldCharType="end"/>
            </w:r>
          </w:hyperlink>
        </w:p>
        <w:p w14:paraId="2535452E"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2" w:history="1">
            <w:r w:rsidRPr="006215CF">
              <w:rPr>
                <w:rStyle w:val="Hyperlink"/>
                <w:noProof/>
              </w:rPr>
              <w:t>4.5</w:t>
            </w:r>
            <w:r>
              <w:rPr>
                <w:rFonts w:asciiTheme="minorHAnsi" w:eastAsiaTheme="minorEastAsia" w:hAnsiTheme="minorHAnsi"/>
                <w:noProof/>
                <w:sz w:val="24"/>
                <w:szCs w:val="24"/>
              </w:rPr>
              <w:tab/>
            </w:r>
            <w:r w:rsidRPr="006215CF">
              <w:rPr>
                <w:rStyle w:val="Hyperlink"/>
                <w:noProof/>
              </w:rPr>
              <w:t>Water provision</w:t>
            </w:r>
            <w:r>
              <w:rPr>
                <w:noProof/>
                <w:webHidden/>
              </w:rPr>
              <w:tab/>
            </w:r>
            <w:r>
              <w:rPr>
                <w:noProof/>
                <w:webHidden/>
              </w:rPr>
              <w:fldChar w:fldCharType="begin"/>
            </w:r>
            <w:r>
              <w:rPr>
                <w:noProof/>
                <w:webHidden/>
              </w:rPr>
              <w:instrText xml:space="preserve"> PAGEREF _Toc501097042 \h </w:instrText>
            </w:r>
            <w:r>
              <w:rPr>
                <w:noProof/>
                <w:webHidden/>
              </w:rPr>
            </w:r>
            <w:r>
              <w:rPr>
                <w:noProof/>
                <w:webHidden/>
              </w:rPr>
              <w:fldChar w:fldCharType="separate"/>
            </w:r>
            <w:r>
              <w:rPr>
                <w:noProof/>
                <w:webHidden/>
              </w:rPr>
              <w:t>50</w:t>
            </w:r>
            <w:r>
              <w:rPr>
                <w:noProof/>
                <w:webHidden/>
              </w:rPr>
              <w:fldChar w:fldCharType="end"/>
            </w:r>
          </w:hyperlink>
        </w:p>
        <w:p w14:paraId="07ABB99A"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3" w:history="1">
            <w:r w:rsidRPr="006215CF">
              <w:rPr>
                <w:rStyle w:val="Hyperlink"/>
                <w:noProof/>
              </w:rPr>
              <w:t>4.6</w:t>
            </w:r>
            <w:r>
              <w:rPr>
                <w:rFonts w:asciiTheme="minorHAnsi" w:eastAsiaTheme="minorEastAsia" w:hAnsiTheme="minorHAnsi"/>
                <w:noProof/>
                <w:sz w:val="24"/>
                <w:szCs w:val="24"/>
              </w:rPr>
              <w:tab/>
            </w:r>
            <w:r w:rsidRPr="006215CF">
              <w:rPr>
                <w:rStyle w:val="Hyperlink"/>
                <w:noProof/>
              </w:rPr>
              <w:t>Solar street lights</w:t>
            </w:r>
            <w:r>
              <w:rPr>
                <w:noProof/>
                <w:webHidden/>
              </w:rPr>
              <w:tab/>
            </w:r>
            <w:r>
              <w:rPr>
                <w:noProof/>
                <w:webHidden/>
              </w:rPr>
              <w:fldChar w:fldCharType="begin"/>
            </w:r>
            <w:r>
              <w:rPr>
                <w:noProof/>
                <w:webHidden/>
              </w:rPr>
              <w:instrText xml:space="preserve"> PAGEREF _Toc501097043 \h </w:instrText>
            </w:r>
            <w:r>
              <w:rPr>
                <w:noProof/>
                <w:webHidden/>
              </w:rPr>
            </w:r>
            <w:r>
              <w:rPr>
                <w:noProof/>
                <w:webHidden/>
              </w:rPr>
              <w:fldChar w:fldCharType="separate"/>
            </w:r>
            <w:r>
              <w:rPr>
                <w:noProof/>
                <w:webHidden/>
              </w:rPr>
              <w:t>54</w:t>
            </w:r>
            <w:r>
              <w:rPr>
                <w:noProof/>
                <w:webHidden/>
              </w:rPr>
              <w:fldChar w:fldCharType="end"/>
            </w:r>
          </w:hyperlink>
        </w:p>
        <w:p w14:paraId="61FBEBC9"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44" w:history="1">
            <w:r w:rsidRPr="006215CF">
              <w:rPr>
                <w:rStyle w:val="Hyperlink"/>
                <w:noProof/>
              </w:rPr>
              <w:t>5</w:t>
            </w:r>
            <w:r>
              <w:rPr>
                <w:rFonts w:asciiTheme="minorHAnsi" w:eastAsiaTheme="minorEastAsia" w:hAnsiTheme="minorHAnsi"/>
                <w:noProof/>
                <w:sz w:val="24"/>
                <w:szCs w:val="24"/>
              </w:rPr>
              <w:tab/>
            </w:r>
            <w:r w:rsidRPr="006215CF">
              <w:rPr>
                <w:rStyle w:val="Hyperlink"/>
                <w:noProof/>
              </w:rPr>
              <w:t>Supply of solar technology and the supporting ecosystem</w:t>
            </w:r>
            <w:r>
              <w:rPr>
                <w:noProof/>
                <w:webHidden/>
              </w:rPr>
              <w:tab/>
            </w:r>
            <w:r>
              <w:rPr>
                <w:noProof/>
                <w:webHidden/>
              </w:rPr>
              <w:fldChar w:fldCharType="begin"/>
            </w:r>
            <w:r>
              <w:rPr>
                <w:noProof/>
                <w:webHidden/>
              </w:rPr>
              <w:instrText xml:space="preserve"> PAGEREF _Toc501097044 \h </w:instrText>
            </w:r>
            <w:r>
              <w:rPr>
                <w:noProof/>
                <w:webHidden/>
              </w:rPr>
            </w:r>
            <w:r>
              <w:rPr>
                <w:noProof/>
                <w:webHidden/>
              </w:rPr>
              <w:fldChar w:fldCharType="separate"/>
            </w:r>
            <w:r>
              <w:rPr>
                <w:noProof/>
                <w:webHidden/>
              </w:rPr>
              <w:t>56</w:t>
            </w:r>
            <w:r>
              <w:rPr>
                <w:noProof/>
                <w:webHidden/>
              </w:rPr>
              <w:fldChar w:fldCharType="end"/>
            </w:r>
          </w:hyperlink>
        </w:p>
        <w:p w14:paraId="1891699F"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5" w:history="1">
            <w:r w:rsidRPr="006215CF">
              <w:rPr>
                <w:rStyle w:val="Hyperlink"/>
                <w:noProof/>
              </w:rPr>
              <w:t>5.1</w:t>
            </w:r>
            <w:r>
              <w:rPr>
                <w:rFonts w:asciiTheme="minorHAnsi" w:eastAsiaTheme="minorEastAsia" w:hAnsiTheme="minorHAnsi"/>
                <w:noProof/>
                <w:sz w:val="24"/>
                <w:szCs w:val="24"/>
              </w:rPr>
              <w:tab/>
            </w:r>
            <w:r w:rsidRPr="006215CF">
              <w:rPr>
                <w:rStyle w:val="Hyperlink"/>
                <w:noProof/>
              </w:rPr>
              <w:t>The supply-side landscape</w:t>
            </w:r>
            <w:r>
              <w:rPr>
                <w:noProof/>
                <w:webHidden/>
              </w:rPr>
              <w:tab/>
            </w:r>
            <w:r>
              <w:rPr>
                <w:noProof/>
                <w:webHidden/>
              </w:rPr>
              <w:fldChar w:fldCharType="begin"/>
            </w:r>
            <w:r>
              <w:rPr>
                <w:noProof/>
                <w:webHidden/>
              </w:rPr>
              <w:instrText xml:space="preserve"> PAGEREF _Toc501097045 \h </w:instrText>
            </w:r>
            <w:r>
              <w:rPr>
                <w:noProof/>
                <w:webHidden/>
              </w:rPr>
            </w:r>
            <w:r>
              <w:rPr>
                <w:noProof/>
                <w:webHidden/>
              </w:rPr>
              <w:fldChar w:fldCharType="separate"/>
            </w:r>
            <w:r>
              <w:rPr>
                <w:noProof/>
                <w:webHidden/>
              </w:rPr>
              <w:t>56</w:t>
            </w:r>
            <w:r>
              <w:rPr>
                <w:noProof/>
                <w:webHidden/>
              </w:rPr>
              <w:fldChar w:fldCharType="end"/>
            </w:r>
          </w:hyperlink>
        </w:p>
        <w:p w14:paraId="1D8DA5F2"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6" w:history="1">
            <w:r w:rsidRPr="006215CF">
              <w:rPr>
                <w:rStyle w:val="Hyperlink"/>
                <w:noProof/>
              </w:rPr>
              <w:t>5.2</w:t>
            </w:r>
            <w:r>
              <w:rPr>
                <w:rFonts w:asciiTheme="minorHAnsi" w:eastAsiaTheme="minorEastAsia" w:hAnsiTheme="minorHAnsi"/>
                <w:noProof/>
                <w:sz w:val="24"/>
                <w:szCs w:val="24"/>
              </w:rPr>
              <w:tab/>
            </w:r>
            <w:r w:rsidRPr="006215CF">
              <w:rPr>
                <w:rStyle w:val="Hyperlink"/>
                <w:noProof/>
              </w:rPr>
              <w:t>Niger’s financial sector</w:t>
            </w:r>
            <w:r>
              <w:rPr>
                <w:noProof/>
                <w:webHidden/>
              </w:rPr>
              <w:tab/>
            </w:r>
            <w:r>
              <w:rPr>
                <w:noProof/>
                <w:webHidden/>
              </w:rPr>
              <w:fldChar w:fldCharType="begin"/>
            </w:r>
            <w:r>
              <w:rPr>
                <w:noProof/>
                <w:webHidden/>
              </w:rPr>
              <w:instrText xml:space="preserve"> PAGEREF _Toc501097046 \h </w:instrText>
            </w:r>
            <w:r>
              <w:rPr>
                <w:noProof/>
                <w:webHidden/>
              </w:rPr>
            </w:r>
            <w:r>
              <w:rPr>
                <w:noProof/>
                <w:webHidden/>
              </w:rPr>
              <w:fldChar w:fldCharType="separate"/>
            </w:r>
            <w:r>
              <w:rPr>
                <w:noProof/>
                <w:webHidden/>
              </w:rPr>
              <w:t>62</w:t>
            </w:r>
            <w:r>
              <w:rPr>
                <w:noProof/>
                <w:webHidden/>
              </w:rPr>
              <w:fldChar w:fldCharType="end"/>
            </w:r>
          </w:hyperlink>
        </w:p>
        <w:p w14:paraId="5E23FCB2"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47" w:history="1">
            <w:r w:rsidRPr="006215CF">
              <w:rPr>
                <w:rStyle w:val="Hyperlink"/>
                <w:noProof/>
              </w:rPr>
              <w:t>5.3</w:t>
            </w:r>
            <w:r>
              <w:rPr>
                <w:rFonts w:asciiTheme="minorHAnsi" w:eastAsiaTheme="minorEastAsia" w:hAnsiTheme="minorHAnsi"/>
                <w:noProof/>
                <w:sz w:val="24"/>
                <w:szCs w:val="24"/>
              </w:rPr>
              <w:tab/>
            </w:r>
            <w:r w:rsidRPr="006215CF">
              <w:rPr>
                <w:rStyle w:val="Hyperlink"/>
                <w:noProof/>
              </w:rPr>
              <w:t>Mobile network operators</w:t>
            </w:r>
            <w:r>
              <w:rPr>
                <w:noProof/>
                <w:webHidden/>
              </w:rPr>
              <w:tab/>
            </w:r>
            <w:r>
              <w:rPr>
                <w:noProof/>
                <w:webHidden/>
              </w:rPr>
              <w:fldChar w:fldCharType="begin"/>
            </w:r>
            <w:r>
              <w:rPr>
                <w:noProof/>
                <w:webHidden/>
              </w:rPr>
              <w:instrText xml:space="preserve"> PAGEREF _Toc501097047 \h </w:instrText>
            </w:r>
            <w:r>
              <w:rPr>
                <w:noProof/>
                <w:webHidden/>
              </w:rPr>
            </w:r>
            <w:r>
              <w:rPr>
                <w:noProof/>
                <w:webHidden/>
              </w:rPr>
              <w:fldChar w:fldCharType="separate"/>
            </w:r>
            <w:r>
              <w:rPr>
                <w:noProof/>
                <w:webHidden/>
              </w:rPr>
              <w:t>65</w:t>
            </w:r>
            <w:r>
              <w:rPr>
                <w:noProof/>
                <w:webHidden/>
              </w:rPr>
              <w:fldChar w:fldCharType="end"/>
            </w:r>
          </w:hyperlink>
        </w:p>
        <w:p w14:paraId="25A212F4"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48" w:history="1">
            <w:r w:rsidRPr="006215CF">
              <w:rPr>
                <w:rStyle w:val="Hyperlink"/>
                <w:noProof/>
              </w:rPr>
              <w:t>6</w:t>
            </w:r>
            <w:r>
              <w:rPr>
                <w:rFonts w:asciiTheme="minorHAnsi" w:eastAsiaTheme="minorEastAsia" w:hAnsiTheme="minorHAnsi"/>
                <w:noProof/>
                <w:sz w:val="24"/>
                <w:szCs w:val="24"/>
              </w:rPr>
              <w:tab/>
            </w:r>
            <w:r w:rsidRPr="006215CF">
              <w:rPr>
                <w:rStyle w:val="Hyperlink"/>
                <w:noProof/>
              </w:rPr>
              <w:t>Challenges to solar market growth</w:t>
            </w:r>
            <w:r>
              <w:rPr>
                <w:noProof/>
                <w:webHidden/>
              </w:rPr>
              <w:tab/>
            </w:r>
            <w:r>
              <w:rPr>
                <w:noProof/>
                <w:webHidden/>
              </w:rPr>
              <w:fldChar w:fldCharType="begin"/>
            </w:r>
            <w:r>
              <w:rPr>
                <w:noProof/>
                <w:webHidden/>
              </w:rPr>
              <w:instrText xml:space="preserve"> PAGEREF _Toc501097048 \h </w:instrText>
            </w:r>
            <w:r>
              <w:rPr>
                <w:noProof/>
                <w:webHidden/>
              </w:rPr>
            </w:r>
            <w:r>
              <w:rPr>
                <w:noProof/>
                <w:webHidden/>
              </w:rPr>
              <w:fldChar w:fldCharType="separate"/>
            </w:r>
            <w:r>
              <w:rPr>
                <w:noProof/>
                <w:webHidden/>
              </w:rPr>
              <w:t>69</w:t>
            </w:r>
            <w:r>
              <w:rPr>
                <w:noProof/>
                <w:webHidden/>
              </w:rPr>
              <w:fldChar w:fldCharType="end"/>
            </w:r>
          </w:hyperlink>
        </w:p>
        <w:p w14:paraId="55BDEFC2" w14:textId="77777777" w:rsidR="002D197A" w:rsidRDefault="002D197A">
          <w:pPr>
            <w:pStyle w:val="TOC1"/>
            <w:tabs>
              <w:tab w:val="left" w:pos="440"/>
              <w:tab w:val="right" w:leader="dot" w:pos="9350"/>
            </w:tabs>
            <w:rPr>
              <w:rFonts w:asciiTheme="minorHAnsi" w:eastAsiaTheme="minorEastAsia" w:hAnsiTheme="minorHAnsi"/>
              <w:noProof/>
              <w:sz w:val="24"/>
              <w:szCs w:val="24"/>
            </w:rPr>
          </w:pPr>
          <w:hyperlink w:anchor="_Toc501097049" w:history="1">
            <w:r w:rsidRPr="006215CF">
              <w:rPr>
                <w:rStyle w:val="Hyperlink"/>
                <w:noProof/>
              </w:rPr>
              <w:t>7</w:t>
            </w:r>
            <w:r>
              <w:rPr>
                <w:rFonts w:asciiTheme="minorHAnsi" w:eastAsiaTheme="minorEastAsia" w:hAnsiTheme="minorHAnsi"/>
                <w:noProof/>
                <w:sz w:val="24"/>
                <w:szCs w:val="24"/>
              </w:rPr>
              <w:tab/>
            </w:r>
            <w:r w:rsidRPr="006215CF">
              <w:rPr>
                <w:rStyle w:val="Hyperlink"/>
                <w:noProof/>
              </w:rPr>
              <w:t>Recommended market interventions for stand-alone solar systems</w:t>
            </w:r>
            <w:r>
              <w:rPr>
                <w:noProof/>
                <w:webHidden/>
              </w:rPr>
              <w:tab/>
            </w:r>
            <w:r>
              <w:rPr>
                <w:noProof/>
                <w:webHidden/>
              </w:rPr>
              <w:fldChar w:fldCharType="begin"/>
            </w:r>
            <w:r>
              <w:rPr>
                <w:noProof/>
                <w:webHidden/>
              </w:rPr>
              <w:instrText xml:space="preserve"> PAGEREF _Toc501097049 \h </w:instrText>
            </w:r>
            <w:r>
              <w:rPr>
                <w:noProof/>
                <w:webHidden/>
              </w:rPr>
            </w:r>
            <w:r>
              <w:rPr>
                <w:noProof/>
                <w:webHidden/>
              </w:rPr>
              <w:fldChar w:fldCharType="separate"/>
            </w:r>
            <w:r>
              <w:rPr>
                <w:noProof/>
                <w:webHidden/>
              </w:rPr>
              <w:t>74</w:t>
            </w:r>
            <w:r>
              <w:rPr>
                <w:noProof/>
                <w:webHidden/>
              </w:rPr>
              <w:fldChar w:fldCharType="end"/>
            </w:r>
          </w:hyperlink>
        </w:p>
        <w:p w14:paraId="72A3CC80"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50" w:history="1">
            <w:r w:rsidRPr="006215CF">
              <w:rPr>
                <w:rStyle w:val="Hyperlink"/>
                <w:noProof/>
              </w:rPr>
              <w:t>7.1</w:t>
            </w:r>
            <w:r>
              <w:rPr>
                <w:rFonts w:asciiTheme="minorHAnsi" w:eastAsiaTheme="minorEastAsia" w:hAnsiTheme="minorHAnsi"/>
                <w:noProof/>
                <w:sz w:val="24"/>
                <w:szCs w:val="24"/>
              </w:rPr>
              <w:tab/>
            </w:r>
            <w:r w:rsidRPr="006215CF">
              <w:rPr>
                <w:rStyle w:val="Hyperlink"/>
                <w:noProof/>
              </w:rPr>
              <w:t>Overarching systemic interventions</w:t>
            </w:r>
            <w:r>
              <w:rPr>
                <w:noProof/>
                <w:webHidden/>
              </w:rPr>
              <w:tab/>
            </w:r>
            <w:r>
              <w:rPr>
                <w:noProof/>
                <w:webHidden/>
              </w:rPr>
              <w:fldChar w:fldCharType="begin"/>
            </w:r>
            <w:r>
              <w:rPr>
                <w:noProof/>
                <w:webHidden/>
              </w:rPr>
              <w:instrText xml:space="preserve"> PAGEREF _Toc501097050 \h </w:instrText>
            </w:r>
            <w:r>
              <w:rPr>
                <w:noProof/>
                <w:webHidden/>
              </w:rPr>
            </w:r>
            <w:r>
              <w:rPr>
                <w:noProof/>
                <w:webHidden/>
              </w:rPr>
              <w:fldChar w:fldCharType="separate"/>
            </w:r>
            <w:r>
              <w:rPr>
                <w:noProof/>
                <w:webHidden/>
              </w:rPr>
              <w:t>77</w:t>
            </w:r>
            <w:r>
              <w:rPr>
                <w:noProof/>
                <w:webHidden/>
              </w:rPr>
              <w:fldChar w:fldCharType="end"/>
            </w:r>
          </w:hyperlink>
        </w:p>
        <w:p w14:paraId="10E94157"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51" w:history="1">
            <w:r w:rsidRPr="006215CF">
              <w:rPr>
                <w:rStyle w:val="Hyperlink"/>
                <w:noProof/>
              </w:rPr>
              <w:t>7.2</w:t>
            </w:r>
            <w:r>
              <w:rPr>
                <w:rFonts w:asciiTheme="minorHAnsi" w:eastAsiaTheme="minorEastAsia" w:hAnsiTheme="minorHAnsi"/>
                <w:noProof/>
                <w:sz w:val="24"/>
                <w:szCs w:val="24"/>
              </w:rPr>
              <w:tab/>
            </w:r>
            <w:r w:rsidRPr="006215CF">
              <w:rPr>
                <w:rStyle w:val="Hyperlink"/>
                <w:noProof/>
              </w:rPr>
              <w:t>Financial interventions for household-level solar solutions</w:t>
            </w:r>
            <w:r>
              <w:rPr>
                <w:noProof/>
                <w:webHidden/>
              </w:rPr>
              <w:tab/>
            </w:r>
            <w:r>
              <w:rPr>
                <w:noProof/>
                <w:webHidden/>
              </w:rPr>
              <w:fldChar w:fldCharType="begin"/>
            </w:r>
            <w:r>
              <w:rPr>
                <w:noProof/>
                <w:webHidden/>
              </w:rPr>
              <w:instrText xml:space="preserve"> PAGEREF _Toc501097051 \h </w:instrText>
            </w:r>
            <w:r>
              <w:rPr>
                <w:noProof/>
                <w:webHidden/>
              </w:rPr>
            </w:r>
            <w:r>
              <w:rPr>
                <w:noProof/>
                <w:webHidden/>
              </w:rPr>
              <w:fldChar w:fldCharType="separate"/>
            </w:r>
            <w:r>
              <w:rPr>
                <w:noProof/>
                <w:webHidden/>
              </w:rPr>
              <w:t>80</w:t>
            </w:r>
            <w:r>
              <w:rPr>
                <w:noProof/>
                <w:webHidden/>
              </w:rPr>
              <w:fldChar w:fldCharType="end"/>
            </w:r>
          </w:hyperlink>
        </w:p>
        <w:p w14:paraId="5F7C5D60" w14:textId="77777777" w:rsidR="002D197A" w:rsidRDefault="002D197A">
          <w:pPr>
            <w:pStyle w:val="TOC2"/>
            <w:tabs>
              <w:tab w:val="left" w:pos="960"/>
              <w:tab w:val="right" w:leader="dot" w:pos="9350"/>
            </w:tabs>
            <w:rPr>
              <w:rFonts w:asciiTheme="minorHAnsi" w:eastAsiaTheme="minorEastAsia" w:hAnsiTheme="minorHAnsi"/>
              <w:noProof/>
              <w:sz w:val="24"/>
              <w:szCs w:val="24"/>
            </w:rPr>
          </w:pPr>
          <w:hyperlink w:anchor="_Toc501097052" w:history="1">
            <w:r w:rsidRPr="006215CF">
              <w:rPr>
                <w:rStyle w:val="Hyperlink"/>
                <w:noProof/>
              </w:rPr>
              <w:t>7.3</w:t>
            </w:r>
            <w:r>
              <w:rPr>
                <w:rFonts w:asciiTheme="minorHAnsi" w:eastAsiaTheme="minorEastAsia" w:hAnsiTheme="minorHAnsi"/>
                <w:noProof/>
                <w:sz w:val="24"/>
                <w:szCs w:val="24"/>
              </w:rPr>
              <w:tab/>
            </w:r>
            <w:r w:rsidRPr="006215CF">
              <w:rPr>
                <w:rStyle w:val="Hyperlink"/>
                <w:noProof/>
              </w:rPr>
              <w:t>Financial interventions for the irrigation market</w:t>
            </w:r>
            <w:r>
              <w:rPr>
                <w:noProof/>
                <w:webHidden/>
              </w:rPr>
              <w:tab/>
            </w:r>
            <w:r>
              <w:rPr>
                <w:noProof/>
                <w:webHidden/>
              </w:rPr>
              <w:fldChar w:fldCharType="begin"/>
            </w:r>
            <w:r>
              <w:rPr>
                <w:noProof/>
                <w:webHidden/>
              </w:rPr>
              <w:instrText xml:space="preserve"> PAGEREF _Toc501097052 \h </w:instrText>
            </w:r>
            <w:r>
              <w:rPr>
                <w:noProof/>
                <w:webHidden/>
              </w:rPr>
            </w:r>
            <w:r>
              <w:rPr>
                <w:noProof/>
                <w:webHidden/>
              </w:rPr>
              <w:fldChar w:fldCharType="separate"/>
            </w:r>
            <w:r>
              <w:rPr>
                <w:noProof/>
                <w:webHidden/>
              </w:rPr>
              <w:t>91</w:t>
            </w:r>
            <w:r>
              <w:rPr>
                <w:noProof/>
                <w:webHidden/>
              </w:rPr>
              <w:fldChar w:fldCharType="end"/>
            </w:r>
          </w:hyperlink>
        </w:p>
        <w:p w14:paraId="4117239C" w14:textId="77777777" w:rsidR="002D197A" w:rsidRDefault="002D197A">
          <w:pPr>
            <w:pStyle w:val="TOC1"/>
            <w:tabs>
              <w:tab w:val="right" w:leader="dot" w:pos="9350"/>
            </w:tabs>
            <w:rPr>
              <w:rFonts w:asciiTheme="minorHAnsi" w:eastAsiaTheme="minorEastAsia" w:hAnsiTheme="minorHAnsi"/>
              <w:noProof/>
              <w:sz w:val="24"/>
              <w:szCs w:val="24"/>
            </w:rPr>
          </w:pPr>
          <w:hyperlink w:anchor="_Toc501097053" w:history="1">
            <w:r w:rsidRPr="006215CF">
              <w:rPr>
                <w:rStyle w:val="Hyperlink"/>
                <w:noProof/>
              </w:rPr>
              <w:t>Appendices</w:t>
            </w:r>
            <w:r>
              <w:rPr>
                <w:noProof/>
                <w:webHidden/>
              </w:rPr>
              <w:tab/>
            </w:r>
            <w:r>
              <w:rPr>
                <w:noProof/>
                <w:webHidden/>
              </w:rPr>
              <w:fldChar w:fldCharType="begin"/>
            </w:r>
            <w:r>
              <w:rPr>
                <w:noProof/>
                <w:webHidden/>
              </w:rPr>
              <w:instrText xml:space="preserve"> PAGEREF _Toc501097053 \h </w:instrText>
            </w:r>
            <w:r>
              <w:rPr>
                <w:noProof/>
                <w:webHidden/>
              </w:rPr>
            </w:r>
            <w:r>
              <w:rPr>
                <w:noProof/>
                <w:webHidden/>
              </w:rPr>
              <w:fldChar w:fldCharType="separate"/>
            </w:r>
            <w:r>
              <w:rPr>
                <w:noProof/>
                <w:webHidden/>
              </w:rPr>
              <w:t>95</w:t>
            </w:r>
            <w:r>
              <w:rPr>
                <w:noProof/>
                <w:webHidden/>
              </w:rPr>
              <w:fldChar w:fldCharType="end"/>
            </w:r>
          </w:hyperlink>
        </w:p>
        <w:p w14:paraId="2FBDFB8D" w14:textId="77777777" w:rsidR="002D197A" w:rsidRDefault="002D197A">
          <w:pPr>
            <w:pStyle w:val="TOC1"/>
            <w:tabs>
              <w:tab w:val="right" w:leader="dot" w:pos="9350"/>
            </w:tabs>
            <w:rPr>
              <w:rFonts w:asciiTheme="minorHAnsi" w:eastAsiaTheme="minorEastAsia" w:hAnsiTheme="minorHAnsi"/>
              <w:noProof/>
              <w:sz w:val="24"/>
              <w:szCs w:val="24"/>
            </w:rPr>
          </w:pPr>
          <w:hyperlink w:anchor="_Toc501097054" w:history="1">
            <w:r w:rsidRPr="006215CF">
              <w:rPr>
                <w:rStyle w:val="Hyperlink"/>
                <w:noProof/>
              </w:rPr>
              <w:t>App. A: Assessment of the opportunity for grid extension and mini-grids</w:t>
            </w:r>
            <w:r>
              <w:rPr>
                <w:noProof/>
                <w:webHidden/>
              </w:rPr>
              <w:tab/>
            </w:r>
            <w:r>
              <w:rPr>
                <w:noProof/>
                <w:webHidden/>
              </w:rPr>
              <w:fldChar w:fldCharType="begin"/>
            </w:r>
            <w:r>
              <w:rPr>
                <w:noProof/>
                <w:webHidden/>
              </w:rPr>
              <w:instrText xml:space="preserve"> PAGEREF _Toc501097054 \h </w:instrText>
            </w:r>
            <w:r>
              <w:rPr>
                <w:noProof/>
                <w:webHidden/>
              </w:rPr>
            </w:r>
            <w:r>
              <w:rPr>
                <w:noProof/>
                <w:webHidden/>
              </w:rPr>
              <w:fldChar w:fldCharType="separate"/>
            </w:r>
            <w:r>
              <w:rPr>
                <w:noProof/>
                <w:webHidden/>
              </w:rPr>
              <w:t>95</w:t>
            </w:r>
            <w:r>
              <w:rPr>
                <w:noProof/>
                <w:webHidden/>
              </w:rPr>
              <w:fldChar w:fldCharType="end"/>
            </w:r>
          </w:hyperlink>
        </w:p>
        <w:p w14:paraId="26682EEF"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55" w:history="1">
            <w:r w:rsidRPr="006215CF">
              <w:rPr>
                <w:rStyle w:val="Hyperlink"/>
                <w:noProof/>
              </w:rPr>
              <w:t>A.1 Assessment of the opportunity to extend the grid</w:t>
            </w:r>
            <w:r>
              <w:rPr>
                <w:noProof/>
                <w:webHidden/>
              </w:rPr>
              <w:tab/>
            </w:r>
            <w:r>
              <w:rPr>
                <w:noProof/>
                <w:webHidden/>
              </w:rPr>
              <w:fldChar w:fldCharType="begin"/>
            </w:r>
            <w:r>
              <w:rPr>
                <w:noProof/>
                <w:webHidden/>
              </w:rPr>
              <w:instrText xml:space="preserve"> PAGEREF _Toc501097055 \h </w:instrText>
            </w:r>
            <w:r>
              <w:rPr>
                <w:noProof/>
                <w:webHidden/>
              </w:rPr>
            </w:r>
            <w:r>
              <w:rPr>
                <w:noProof/>
                <w:webHidden/>
              </w:rPr>
              <w:fldChar w:fldCharType="separate"/>
            </w:r>
            <w:r>
              <w:rPr>
                <w:noProof/>
                <w:webHidden/>
              </w:rPr>
              <w:t>95</w:t>
            </w:r>
            <w:r>
              <w:rPr>
                <w:noProof/>
                <w:webHidden/>
              </w:rPr>
              <w:fldChar w:fldCharType="end"/>
            </w:r>
          </w:hyperlink>
        </w:p>
        <w:p w14:paraId="05DD5115"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56" w:history="1">
            <w:r w:rsidRPr="006215CF">
              <w:rPr>
                <w:rStyle w:val="Hyperlink"/>
                <w:noProof/>
              </w:rPr>
              <w:t>A.2 Assessment of the opportunity for investment in mini-grids</w:t>
            </w:r>
            <w:r>
              <w:rPr>
                <w:noProof/>
                <w:webHidden/>
              </w:rPr>
              <w:tab/>
            </w:r>
            <w:r>
              <w:rPr>
                <w:noProof/>
                <w:webHidden/>
              </w:rPr>
              <w:fldChar w:fldCharType="begin"/>
            </w:r>
            <w:r>
              <w:rPr>
                <w:noProof/>
                <w:webHidden/>
              </w:rPr>
              <w:instrText xml:space="preserve"> PAGEREF _Toc501097056 \h </w:instrText>
            </w:r>
            <w:r>
              <w:rPr>
                <w:noProof/>
                <w:webHidden/>
              </w:rPr>
            </w:r>
            <w:r>
              <w:rPr>
                <w:noProof/>
                <w:webHidden/>
              </w:rPr>
              <w:fldChar w:fldCharType="separate"/>
            </w:r>
            <w:r>
              <w:rPr>
                <w:noProof/>
                <w:webHidden/>
              </w:rPr>
              <w:t>99</w:t>
            </w:r>
            <w:r>
              <w:rPr>
                <w:noProof/>
                <w:webHidden/>
              </w:rPr>
              <w:fldChar w:fldCharType="end"/>
            </w:r>
          </w:hyperlink>
        </w:p>
        <w:p w14:paraId="167C4655"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57" w:history="1">
            <w:r w:rsidRPr="006215CF">
              <w:rPr>
                <w:rStyle w:val="Hyperlink"/>
                <w:noProof/>
              </w:rPr>
              <w:t>A.2.1 Critical decision factors for investment in mini-grids</w:t>
            </w:r>
            <w:r>
              <w:rPr>
                <w:noProof/>
                <w:webHidden/>
              </w:rPr>
              <w:tab/>
            </w:r>
            <w:r>
              <w:rPr>
                <w:noProof/>
                <w:webHidden/>
              </w:rPr>
              <w:fldChar w:fldCharType="begin"/>
            </w:r>
            <w:r>
              <w:rPr>
                <w:noProof/>
                <w:webHidden/>
              </w:rPr>
              <w:instrText xml:space="preserve"> PAGEREF _Toc501097057 \h </w:instrText>
            </w:r>
            <w:r>
              <w:rPr>
                <w:noProof/>
                <w:webHidden/>
              </w:rPr>
            </w:r>
            <w:r>
              <w:rPr>
                <w:noProof/>
                <w:webHidden/>
              </w:rPr>
              <w:fldChar w:fldCharType="separate"/>
            </w:r>
            <w:r>
              <w:rPr>
                <w:noProof/>
                <w:webHidden/>
              </w:rPr>
              <w:t>100</w:t>
            </w:r>
            <w:r>
              <w:rPr>
                <w:noProof/>
                <w:webHidden/>
              </w:rPr>
              <w:fldChar w:fldCharType="end"/>
            </w:r>
          </w:hyperlink>
        </w:p>
        <w:p w14:paraId="38A2EB18"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58" w:history="1">
            <w:r w:rsidRPr="006215CF">
              <w:rPr>
                <w:rStyle w:val="Hyperlink"/>
                <w:noProof/>
              </w:rPr>
              <w:t>A.2.2 The regulatory environment for mini-grids in Niger</w:t>
            </w:r>
            <w:r>
              <w:rPr>
                <w:noProof/>
                <w:webHidden/>
              </w:rPr>
              <w:tab/>
            </w:r>
            <w:r>
              <w:rPr>
                <w:noProof/>
                <w:webHidden/>
              </w:rPr>
              <w:fldChar w:fldCharType="begin"/>
            </w:r>
            <w:r>
              <w:rPr>
                <w:noProof/>
                <w:webHidden/>
              </w:rPr>
              <w:instrText xml:space="preserve"> PAGEREF _Toc501097058 \h </w:instrText>
            </w:r>
            <w:r>
              <w:rPr>
                <w:noProof/>
                <w:webHidden/>
              </w:rPr>
            </w:r>
            <w:r>
              <w:rPr>
                <w:noProof/>
                <w:webHidden/>
              </w:rPr>
              <w:fldChar w:fldCharType="separate"/>
            </w:r>
            <w:r>
              <w:rPr>
                <w:noProof/>
                <w:webHidden/>
              </w:rPr>
              <w:t>101</w:t>
            </w:r>
            <w:r>
              <w:rPr>
                <w:noProof/>
                <w:webHidden/>
              </w:rPr>
              <w:fldChar w:fldCharType="end"/>
            </w:r>
          </w:hyperlink>
        </w:p>
        <w:p w14:paraId="5D21C4BE"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59" w:history="1">
            <w:r w:rsidRPr="006215CF">
              <w:rPr>
                <w:rStyle w:val="Hyperlink"/>
                <w:noProof/>
              </w:rPr>
              <w:t>A.2.3 Different PPP structures for mini-grid investments</w:t>
            </w:r>
            <w:r>
              <w:rPr>
                <w:noProof/>
                <w:webHidden/>
              </w:rPr>
              <w:tab/>
            </w:r>
            <w:r>
              <w:rPr>
                <w:noProof/>
                <w:webHidden/>
              </w:rPr>
              <w:fldChar w:fldCharType="begin"/>
            </w:r>
            <w:r>
              <w:rPr>
                <w:noProof/>
                <w:webHidden/>
              </w:rPr>
              <w:instrText xml:space="preserve"> PAGEREF _Toc501097059 \h </w:instrText>
            </w:r>
            <w:r>
              <w:rPr>
                <w:noProof/>
                <w:webHidden/>
              </w:rPr>
            </w:r>
            <w:r>
              <w:rPr>
                <w:noProof/>
                <w:webHidden/>
              </w:rPr>
              <w:fldChar w:fldCharType="separate"/>
            </w:r>
            <w:r>
              <w:rPr>
                <w:noProof/>
                <w:webHidden/>
              </w:rPr>
              <w:t>102</w:t>
            </w:r>
            <w:r>
              <w:rPr>
                <w:noProof/>
                <w:webHidden/>
              </w:rPr>
              <w:fldChar w:fldCharType="end"/>
            </w:r>
          </w:hyperlink>
        </w:p>
        <w:p w14:paraId="7385A2BC"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0" w:history="1">
            <w:r w:rsidRPr="006215CF">
              <w:rPr>
                <w:rStyle w:val="Hyperlink"/>
                <w:noProof/>
              </w:rPr>
              <w:t>A.2.4 Identifying high potential locations for mini-grids</w:t>
            </w:r>
            <w:r>
              <w:rPr>
                <w:noProof/>
                <w:webHidden/>
              </w:rPr>
              <w:tab/>
            </w:r>
            <w:r>
              <w:rPr>
                <w:noProof/>
                <w:webHidden/>
              </w:rPr>
              <w:fldChar w:fldCharType="begin"/>
            </w:r>
            <w:r>
              <w:rPr>
                <w:noProof/>
                <w:webHidden/>
              </w:rPr>
              <w:instrText xml:space="preserve"> PAGEREF _Toc501097060 \h </w:instrText>
            </w:r>
            <w:r>
              <w:rPr>
                <w:noProof/>
                <w:webHidden/>
              </w:rPr>
            </w:r>
            <w:r>
              <w:rPr>
                <w:noProof/>
                <w:webHidden/>
              </w:rPr>
              <w:fldChar w:fldCharType="separate"/>
            </w:r>
            <w:r>
              <w:rPr>
                <w:noProof/>
                <w:webHidden/>
              </w:rPr>
              <w:t>104</w:t>
            </w:r>
            <w:r>
              <w:rPr>
                <w:noProof/>
                <w:webHidden/>
              </w:rPr>
              <w:fldChar w:fldCharType="end"/>
            </w:r>
          </w:hyperlink>
        </w:p>
        <w:p w14:paraId="68C0EDD8" w14:textId="77777777" w:rsidR="002D197A" w:rsidRDefault="002D197A">
          <w:pPr>
            <w:pStyle w:val="TOC1"/>
            <w:tabs>
              <w:tab w:val="right" w:leader="dot" w:pos="9350"/>
            </w:tabs>
            <w:rPr>
              <w:rFonts w:asciiTheme="minorHAnsi" w:eastAsiaTheme="minorEastAsia" w:hAnsiTheme="minorHAnsi"/>
              <w:noProof/>
              <w:sz w:val="24"/>
              <w:szCs w:val="24"/>
            </w:rPr>
          </w:pPr>
          <w:hyperlink w:anchor="_Toc501097061" w:history="1">
            <w:r w:rsidRPr="006215CF">
              <w:rPr>
                <w:rStyle w:val="Hyperlink"/>
                <w:noProof/>
              </w:rPr>
              <w:t>App. B: Methodology &amp; assumptions used for market sizing</w:t>
            </w:r>
            <w:r>
              <w:rPr>
                <w:noProof/>
                <w:webHidden/>
              </w:rPr>
              <w:tab/>
            </w:r>
            <w:r>
              <w:rPr>
                <w:noProof/>
                <w:webHidden/>
              </w:rPr>
              <w:fldChar w:fldCharType="begin"/>
            </w:r>
            <w:r>
              <w:rPr>
                <w:noProof/>
                <w:webHidden/>
              </w:rPr>
              <w:instrText xml:space="preserve"> PAGEREF _Toc501097061 \h </w:instrText>
            </w:r>
            <w:r>
              <w:rPr>
                <w:noProof/>
                <w:webHidden/>
              </w:rPr>
            </w:r>
            <w:r>
              <w:rPr>
                <w:noProof/>
                <w:webHidden/>
              </w:rPr>
              <w:fldChar w:fldCharType="separate"/>
            </w:r>
            <w:r>
              <w:rPr>
                <w:noProof/>
                <w:webHidden/>
              </w:rPr>
              <w:t>107</w:t>
            </w:r>
            <w:r>
              <w:rPr>
                <w:noProof/>
                <w:webHidden/>
              </w:rPr>
              <w:fldChar w:fldCharType="end"/>
            </w:r>
          </w:hyperlink>
        </w:p>
        <w:p w14:paraId="4C7178DF"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62" w:history="1">
            <w:r w:rsidRPr="006215CF">
              <w:rPr>
                <w:rStyle w:val="Hyperlink"/>
                <w:noProof/>
              </w:rPr>
              <w:t>B.1 Households</w:t>
            </w:r>
            <w:r>
              <w:rPr>
                <w:noProof/>
                <w:webHidden/>
              </w:rPr>
              <w:tab/>
            </w:r>
            <w:r>
              <w:rPr>
                <w:noProof/>
                <w:webHidden/>
              </w:rPr>
              <w:fldChar w:fldCharType="begin"/>
            </w:r>
            <w:r>
              <w:rPr>
                <w:noProof/>
                <w:webHidden/>
              </w:rPr>
              <w:instrText xml:space="preserve"> PAGEREF _Toc501097062 \h </w:instrText>
            </w:r>
            <w:r>
              <w:rPr>
                <w:noProof/>
                <w:webHidden/>
              </w:rPr>
            </w:r>
            <w:r>
              <w:rPr>
                <w:noProof/>
                <w:webHidden/>
              </w:rPr>
              <w:fldChar w:fldCharType="separate"/>
            </w:r>
            <w:r>
              <w:rPr>
                <w:noProof/>
                <w:webHidden/>
              </w:rPr>
              <w:t>107</w:t>
            </w:r>
            <w:r>
              <w:rPr>
                <w:noProof/>
                <w:webHidden/>
              </w:rPr>
              <w:fldChar w:fldCharType="end"/>
            </w:r>
          </w:hyperlink>
          <w:bookmarkStart w:id="0" w:name="_GoBack"/>
          <w:bookmarkEnd w:id="0"/>
        </w:p>
        <w:p w14:paraId="3836D116"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63" w:history="1">
            <w:r w:rsidRPr="006215CF">
              <w:rPr>
                <w:rStyle w:val="Hyperlink"/>
                <w:noProof/>
              </w:rPr>
              <w:t>B.2 Public institutions</w:t>
            </w:r>
            <w:r>
              <w:rPr>
                <w:noProof/>
                <w:webHidden/>
              </w:rPr>
              <w:tab/>
            </w:r>
            <w:r>
              <w:rPr>
                <w:noProof/>
                <w:webHidden/>
              </w:rPr>
              <w:fldChar w:fldCharType="begin"/>
            </w:r>
            <w:r>
              <w:rPr>
                <w:noProof/>
                <w:webHidden/>
              </w:rPr>
              <w:instrText xml:space="preserve"> PAGEREF _Toc501097063 \h </w:instrText>
            </w:r>
            <w:r>
              <w:rPr>
                <w:noProof/>
                <w:webHidden/>
              </w:rPr>
            </w:r>
            <w:r>
              <w:rPr>
                <w:noProof/>
                <w:webHidden/>
              </w:rPr>
              <w:fldChar w:fldCharType="separate"/>
            </w:r>
            <w:r>
              <w:rPr>
                <w:noProof/>
                <w:webHidden/>
              </w:rPr>
              <w:t>108</w:t>
            </w:r>
            <w:r>
              <w:rPr>
                <w:noProof/>
                <w:webHidden/>
              </w:rPr>
              <w:fldChar w:fldCharType="end"/>
            </w:r>
          </w:hyperlink>
        </w:p>
        <w:p w14:paraId="2A001D2C"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4" w:history="1">
            <w:r w:rsidRPr="006215CF">
              <w:rPr>
                <w:rStyle w:val="Hyperlink"/>
                <w:noProof/>
              </w:rPr>
              <w:t>B.2.1 Educational institutions</w:t>
            </w:r>
            <w:r>
              <w:rPr>
                <w:noProof/>
                <w:webHidden/>
              </w:rPr>
              <w:tab/>
            </w:r>
            <w:r>
              <w:rPr>
                <w:noProof/>
                <w:webHidden/>
              </w:rPr>
              <w:fldChar w:fldCharType="begin"/>
            </w:r>
            <w:r>
              <w:rPr>
                <w:noProof/>
                <w:webHidden/>
              </w:rPr>
              <w:instrText xml:space="preserve"> PAGEREF _Toc501097064 \h </w:instrText>
            </w:r>
            <w:r>
              <w:rPr>
                <w:noProof/>
                <w:webHidden/>
              </w:rPr>
            </w:r>
            <w:r>
              <w:rPr>
                <w:noProof/>
                <w:webHidden/>
              </w:rPr>
              <w:fldChar w:fldCharType="separate"/>
            </w:r>
            <w:r>
              <w:rPr>
                <w:noProof/>
                <w:webHidden/>
              </w:rPr>
              <w:t>109</w:t>
            </w:r>
            <w:r>
              <w:rPr>
                <w:noProof/>
                <w:webHidden/>
              </w:rPr>
              <w:fldChar w:fldCharType="end"/>
            </w:r>
          </w:hyperlink>
        </w:p>
        <w:p w14:paraId="616BF534"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5" w:history="1">
            <w:r w:rsidRPr="006215CF">
              <w:rPr>
                <w:rStyle w:val="Hyperlink"/>
                <w:noProof/>
              </w:rPr>
              <w:t>B.2.2 Health facilities</w:t>
            </w:r>
            <w:r>
              <w:rPr>
                <w:noProof/>
                <w:webHidden/>
              </w:rPr>
              <w:tab/>
            </w:r>
            <w:r>
              <w:rPr>
                <w:noProof/>
                <w:webHidden/>
              </w:rPr>
              <w:fldChar w:fldCharType="begin"/>
            </w:r>
            <w:r>
              <w:rPr>
                <w:noProof/>
                <w:webHidden/>
              </w:rPr>
              <w:instrText xml:space="preserve"> PAGEREF _Toc501097065 \h </w:instrText>
            </w:r>
            <w:r>
              <w:rPr>
                <w:noProof/>
                <w:webHidden/>
              </w:rPr>
            </w:r>
            <w:r>
              <w:rPr>
                <w:noProof/>
                <w:webHidden/>
              </w:rPr>
              <w:fldChar w:fldCharType="separate"/>
            </w:r>
            <w:r>
              <w:rPr>
                <w:noProof/>
                <w:webHidden/>
              </w:rPr>
              <w:t>110</w:t>
            </w:r>
            <w:r>
              <w:rPr>
                <w:noProof/>
                <w:webHidden/>
              </w:rPr>
              <w:fldChar w:fldCharType="end"/>
            </w:r>
          </w:hyperlink>
        </w:p>
        <w:p w14:paraId="05AAAC07"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6" w:history="1">
            <w:r w:rsidRPr="006215CF">
              <w:rPr>
                <w:rStyle w:val="Hyperlink"/>
                <w:noProof/>
              </w:rPr>
              <w:t>B.2.3 Public buildings</w:t>
            </w:r>
            <w:r>
              <w:rPr>
                <w:noProof/>
                <w:webHidden/>
              </w:rPr>
              <w:tab/>
            </w:r>
            <w:r>
              <w:rPr>
                <w:noProof/>
                <w:webHidden/>
              </w:rPr>
              <w:fldChar w:fldCharType="begin"/>
            </w:r>
            <w:r>
              <w:rPr>
                <w:noProof/>
                <w:webHidden/>
              </w:rPr>
              <w:instrText xml:space="preserve"> PAGEREF _Toc501097066 \h </w:instrText>
            </w:r>
            <w:r>
              <w:rPr>
                <w:noProof/>
                <w:webHidden/>
              </w:rPr>
            </w:r>
            <w:r>
              <w:rPr>
                <w:noProof/>
                <w:webHidden/>
              </w:rPr>
              <w:fldChar w:fldCharType="separate"/>
            </w:r>
            <w:r>
              <w:rPr>
                <w:noProof/>
                <w:webHidden/>
              </w:rPr>
              <w:t>111</w:t>
            </w:r>
            <w:r>
              <w:rPr>
                <w:noProof/>
                <w:webHidden/>
              </w:rPr>
              <w:fldChar w:fldCharType="end"/>
            </w:r>
          </w:hyperlink>
        </w:p>
        <w:p w14:paraId="7F963DBD"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67" w:history="1">
            <w:r w:rsidRPr="006215CF">
              <w:rPr>
                <w:rStyle w:val="Hyperlink"/>
                <w:noProof/>
              </w:rPr>
              <w:t>B.3 Agricultural irrigation</w:t>
            </w:r>
            <w:r>
              <w:rPr>
                <w:noProof/>
                <w:webHidden/>
              </w:rPr>
              <w:tab/>
            </w:r>
            <w:r>
              <w:rPr>
                <w:noProof/>
                <w:webHidden/>
              </w:rPr>
              <w:fldChar w:fldCharType="begin"/>
            </w:r>
            <w:r>
              <w:rPr>
                <w:noProof/>
                <w:webHidden/>
              </w:rPr>
              <w:instrText xml:space="preserve"> PAGEREF _Toc501097067 \h </w:instrText>
            </w:r>
            <w:r>
              <w:rPr>
                <w:noProof/>
                <w:webHidden/>
              </w:rPr>
            </w:r>
            <w:r>
              <w:rPr>
                <w:noProof/>
                <w:webHidden/>
              </w:rPr>
              <w:fldChar w:fldCharType="separate"/>
            </w:r>
            <w:r>
              <w:rPr>
                <w:noProof/>
                <w:webHidden/>
              </w:rPr>
              <w:t>112</w:t>
            </w:r>
            <w:r>
              <w:rPr>
                <w:noProof/>
                <w:webHidden/>
              </w:rPr>
              <w:fldChar w:fldCharType="end"/>
            </w:r>
          </w:hyperlink>
        </w:p>
        <w:p w14:paraId="41CB7A84"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8" w:history="1">
            <w:r w:rsidRPr="006215CF">
              <w:rPr>
                <w:rStyle w:val="Hyperlink"/>
                <w:noProof/>
              </w:rPr>
              <w:t>B.3.1 Large irrigation schemes</w:t>
            </w:r>
            <w:r>
              <w:rPr>
                <w:noProof/>
                <w:webHidden/>
              </w:rPr>
              <w:tab/>
            </w:r>
            <w:r>
              <w:rPr>
                <w:noProof/>
                <w:webHidden/>
              </w:rPr>
              <w:fldChar w:fldCharType="begin"/>
            </w:r>
            <w:r>
              <w:rPr>
                <w:noProof/>
                <w:webHidden/>
              </w:rPr>
              <w:instrText xml:space="preserve"> PAGEREF _Toc501097068 \h </w:instrText>
            </w:r>
            <w:r>
              <w:rPr>
                <w:noProof/>
                <w:webHidden/>
              </w:rPr>
            </w:r>
            <w:r>
              <w:rPr>
                <w:noProof/>
                <w:webHidden/>
              </w:rPr>
              <w:fldChar w:fldCharType="separate"/>
            </w:r>
            <w:r>
              <w:rPr>
                <w:noProof/>
                <w:webHidden/>
              </w:rPr>
              <w:t>113</w:t>
            </w:r>
            <w:r>
              <w:rPr>
                <w:noProof/>
                <w:webHidden/>
              </w:rPr>
              <w:fldChar w:fldCharType="end"/>
            </w:r>
          </w:hyperlink>
        </w:p>
        <w:p w14:paraId="3627E15C" w14:textId="77777777" w:rsidR="002D197A" w:rsidRDefault="002D197A">
          <w:pPr>
            <w:pStyle w:val="TOC3"/>
            <w:tabs>
              <w:tab w:val="right" w:leader="dot" w:pos="9350"/>
            </w:tabs>
            <w:rPr>
              <w:rFonts w:asciiTheme="minorHAnsi" w:eastAsiaTheme="minorEastAsia" w:hAnsiTheme="minorHAnsi"/>
              <w:noProof/>
              <w:sz w:val="24"/>
              <w:szCs w:val="24"/>
            </w:rPr>
          </w:pPr>
          <w:hyperlink w:anchor="_Toc501097069" w:history="1">
            <w:r w:rsidRPr="006215CF">
              <w:rPr>
                <w:rStyle w:val="Hyperlink"/>
                <w:noProof/>
              </w:rPr>
              <w:t>B.3.2 Small scale, individual irrigation schemes</w:t>
            </w:r>
            <w:r>
              <w:rPr>
                <w:noProof/>
                <w:webHidden/>
              </w:rPr>
              <w:tab/>
            </w:r>
            <w:r>
              <w:rPr>
                <w:noProof/>
                <w:webHidden/>
              </w:rPr>
              <w:fldChar w:fldCharType="begin"/>
            </w:r>
            <w:r>
              <w:rPr>
                <w:noProof/>
                <w:webHidden/>
              </w:rPr>
              <w:instrText xml:space="preserve"> PAGEREF _Toc501097069 \h </w:instrText>
            </w:r>
            <w:r>
              <w:rPr>
                <w:noProof/>
                <w:webHidden/>
              </w:rPr>
            </w:r>
            <w:r>
              <w:rPr>
                <w:noProof/>
                <w:webHidden/>
              </w:rPr>
              <w:fldChar w:fldCharType="separate"/>
            </w:r>
            <w:r>
              <w:rPr>
                <w:noProof/>
                <w:webHidden/>
              </w:rPr>
              <w:t>114</w:t>
            </w:r>
            <w:r>
              <w:rPr>
                <w:noProof/>
                <w:webHidden/>
              </w:rPr>
              <w:fldChar w:fldCharType="end"/>
            </w:r>
          </w:hyperlink>
        </w:p>
        <w:p w14:paraId="32FD643C"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70" w:history="1">
            <w:r w:rsidRPr="006215CF">
              <w:rPr>
                <w:rStyle w:val="Hyperlink"/>
                <w:noProof/>
              </w:rPr>
              <w:t>B.4 Crop processing</w:t>
            </w:r>
            <w:r>
              <w:rPr>
                <w:noProof/>
                <w:webHidden/>
              </w:rPr>
              <w:tab/>
            </w:r>
            <w:r>
              <w:rPr>
                <w:noProof/>
                <w:webHidden/>
              </w:rPr>
              <w:fldChar w:fldCharType="begin"/>
            </w:r>
            <w:r>
              <w:rPr>
                <w:noProof/>
                <w:webHidden/>
              </w:rPr>
              <w:instrText xml:space="preserve"> PAGEREF _Toc501097070 \h </w:instrText>
            </w:r>
            <w:r>
              <w:rPr>
                <w:noProof/>
                <w:webHidden/>
              </w:rPr>
            </w:r>
            <w:r>
              <w:rPr>
                <w:noProof/>
                <w:webHidden/>
              </w:rPr>
              <w:fldChar w:fldCharType="separate"/>
            </w:r>
            <w:r>
              <w:rPr>
                <w:noProof/>
                <w:webHidden/>
              </w:rPr>
              <w:t>117</w:t>
            </w:r>
            <w:r>
              <w:rPr>
                <w:noProof/>
                <w:webHidden/>
              </w:rPr>
              <w:fldChar w:fldCharType="end"/>
            </w:r>
          </w:hyperlink>
        </w:p>
        <w:p w14:paraId="3DFB1528" w14:textId="77777777" w:rsidR="002D197A" w:rsidRDefault="002D197A">
          <w:pPr>
            <w:pStyle w:val="TOC2"/>
            <w:tabs>
              <w:tab w:val="right" w:leader="dot" w:pos="9350"/>
            </w:tabs>
            <w:rPr>
              <w:rFonts w:asciiTheme="minorHAnsi" w:eastAsiaTheme="minorEastAsia" w:hAnsiTheme="minorHAnsi"/>
              <w:noProof/>
              <w:sz w:val="24"/>
              <w:szCs w:val="24"/>
            </w:rPr>
          </w:pPr>
          <w:hyperlink w:anchor="_Toc501097071" w:history="1">
            <w:r w:rsidRPr="006215CF">
              <w:rPr>
                <w:rStyle w:val="Hyperlink"/>
                <w:noProof/>
              </w:rPr>
              <w:t>B.5 Water provision</w:t>
            </w:r>
            <w:r>
              <w:rPr>
                <w:noProof/>
                <w:webHidden/>
              </w:rPr>
              <w:tab/>
            </w:r>
            <w:r>
              <w:rPr>
                <w:noProof/>
                <w:webHidden/>
              </w:rPr>
              <w:fldChar w:fldCharType="begin"/>
            </w:r>
            <w:r>
              <w:rPr>
                <w:noProof/>
                <w:webHidden/>
              </w:rPr>
              <w:instrText xml:space="preserve"> PAGEREF _Toc501097071 \h </w:instrText>
            </w:r>
            <w:r>
              <w:rPr>
                <w:noProof/>
                <w:webHidden/>
              </w:rPr>
            </w:r>
            <w:r>
              <w:rPr>
                <w:noProof/>
                <w:webHidden/>
              </w:rPr>
              <w:fldChar w:fldCharType="separate"/>
            </w:r>
            <w:r>
              <w:rPr>
                <w:noProof/>
                <w:webHidden/>
              </w:rPr>
              <w:t>118</w:t>
            </w:r>
            <w:r>
              <w:rPr>
                <w:noProof/>
                <w:webHidden/>
              </w:rPr>
              <w:fldChar w:fldCharType="end"/>
            </w:r>
          </w:hyperlink>
        </w:p>
        <w:p w14:paraId="241581A9" w14:textId="63D05F58" w:rsidR="00C21E9E" w:rsidRPr="002E4EFE" w:rsidRDefault="00D2264D" w:rsidP="002E4EFE">
          <w:pPr>
            <w:pStyle w:val="TOC1"/>
            <w:tabs>
              <w:tab w:val="right" w:leader="dot" w:pos="9350"/>
            </w:tabs>
            <w:rPr>
              <w:rFonts w:asciiTheme="minorHAnsi" w:eastAsiaTheme="minorEastAsia" w:hAnsiTheme="minorHAnsi" w:cstheme="minorHAnsi"/>
              <w:noProof/>
              <w:sz w:val="24"/>
              <w:szCs w:val="24"/>
            </w:rPr>
          </w:pPr>
          <w:r w:rsidRPr="002E4EFE">
            <w:rPr>
              <w:rFonts w:asciiTheme="minorHAnsi" w:hAnsiTheme="minorHAnsi" w:cstheme="minorHAnsi"/>
              <w:b/>
              <w:bCs/>
              <w:noProof/>
            </w:rPr>
            <w:fldChar w:fldCharType="end"/>
          </w:r>
          <w:r w:rsidR="002E4EFE" w:rsidRPr="002E4EFE">
            <w:rPr>
              <w:rFonts w:asciiTheme="minorHAnsi" w:hAnsiTheme="minorHAnsi" w:cstheme="minorHAnsi"/>
              <w:sz w:val="26"/>
              <w:szCs w:val="26"/>
            </w:rPr>
            <w:t xml:space="preserve"> </w:t>
          </w:r>
        </w:p>
      </w:sdtContent>
    </w:sdt>
    <w:p w14:paraId="1DE32B84" w14:textId="77777777" w:rsidR="00C21E9E" w:rsidRPr="00DD38A9" w:rsidRDefault="00C21E9E" w:rsidP="009769AD">
      <w:pPr>
        <w:spacing w:after="240"/>
        <w:rPr>
          <w:rFonts w:eastAsiaTheme="majorEastAsia" w:cs="Segoe UI"/>
          <w:b/>
          <w:color w:val="6BADB7" w:themeColor="accent1" w:themeShade="BF"/>
          <w:sz w:val="28"/>
          <w:szCs w:val="28"/>
        </w:rPr>
      </w:pPr>
      <w:r>
        <w:rPr>
          <w:rFonts w:eastAsiaTheme="majorEastAsia" w:cs="Segoe UI"/>
          <w:b/>
          <w:color w:val="6BADB7" w:themeColor="accent1" w:themeShade="BF"/>
          <w:sz w:val="28"/>
          <w:szCs w:val="28"/>
        </w:rPr>
        <w:t>Table of figures</w:t>
      </w:r>
    </w:p>
    <w:p w14:paraId="26CCE3C1" w14:textId="1919419E" w:rsidR="000D1C35" w:rsidRDefault="00C21E9E">
      <w:pPr>
        <w:pStyle w:val="TableofFigures"/>
        <w:tabs>
          <w:tab w:val="right" w:leader="dot" w:pos="9350"/>
        </w:tabs>
        <w:rPr>
          <w:rFonts w:asciiTheme="minorHAnsi" w:eastAsiaTheme="minorEastAsia" w:hAnsiTheme="minorHAnsi" w:cstheme="minorBidi"/>
          <w:i w:val="0"/>
          <w:iCs w:val="0"/>
          <w:noProof/>
          <w:sz w:val="22"/>
          <w:szCs w:val="22"/>
        </w:rPr>
      </w:pPr>
      <w:r>
        <w:rPr>
          <w:rFonts w:eastAsiaTheme="majorEastAsia" w:cs="Segoe UI"/>
          <w:b/>
          <w:color w:val="6BADB7" w:themeColor="accent1" w:themeShade="BF"/>
          <w:sz w:val="28"/>
          <w:szCs w:val="28"/>
        </w:rPr>
        <w:fldChar w:fldCharType="begin"/>
      </w:r>
      <w:r>
        <w:rPr>
          <w:rFonts w:eastAsiaTheme="majorEastAsia" w:cs="Segoe UI"/>
          <w:b/>
          <w:color w:val="6BADB7" w:themeColor="accent1" w:themeShade="BF"/>
          <w:sz w:val="28"/>
          <w:szCs w:val="28"/>
        </w:rPr>
        <w:instrText xml:space="preserve"> TOC \c "Figure" </w:instrText>
      </w:r>
      <w:r>
        <w:rPr>
          <w:rFonts w:eastAsiaTheme="majorEastAsia" w:cs="Segoe UI"/>
          <w:b/>
          <w:color w:val="6BADB7" w:themeColor="accent1" w:themeShade="BF"/>
          <w:sz w:val="28"/>
          <w:szCs w:val="28"/>
        </w:rPr>
        <w:fldChar w:fldCharType="separate"/>
      </w:r>
      <w:r w:rsidR="000D1C35">
        <w:rPr>
          <w:noProof/>
        </w:rPr>
        <w:t>Figure 1: Scope of research – market definition</w:t>
      </w:r>
      <w:r w:rsidR="000D1C35">
        <w:rPr>
          <w:noProof/>
        </w:rPr>
        <w:tab/>
      </w:r>
      <w:r w:rsidR="000D1C35">
        <w:rPr>
          <w:noProof/>
        </w:rPr>
        <w:fldChar w:fldCharType="begin"/>
      </w:r>
      <w:r w:rsidR="000D1C35">
        <w:rPr>
          <w:noProof/>
        </w:rPr>
        <w:instrText xml:space="preserve"> PAGEREF _Toc500969338 \h </w:instrText>
      </w:r>
      <w:r w:rsidR="000D1C35">
        <w:rPr>
          <w:noProof/>
        </w:rPr>
      </w:r>
      <w:r w:rsidR="000D1C35">
        <w:rPr>
          <w:noProof/>
        </w:rPr>
        <w:fldChar w:fldCharType="separate"/>
      </w:r>
      <w:r w:rsidR="000D1C35">
        <w:rPr>
          <w:noProof/>
        </w:rPr>
        <w:t>10</w:t>
      </w:r>
      <w:r w:rsidR="000D1C35">
        <w:rPr>
          <w:noProof/>
        </w:rPr>
        <w:fldChar w:fldCharType="end"/>
      </w:r>
    </w:p>
    <w:p w14:paraId="1D4A35C3" w14:textId="676A751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 Focus group participants in Maradi</w:t>
      </w:r>
      <w:r>
        <w:rPr>
          <w:noProof/>
        </w:rPr>
        <w:tab/>
      </w:r>
      <w:r>
        <w:rPr>
          <w:noProof/>
        </w:rPr>
        <w:fldChar w:fldCharType="begin"/>
      </w:r>
      <w:r>
        <w:rPr>
          <w:noProof/>
        </w:rPr>
        <w:instrText xml:space="preserve"> PAGEREF _Toc500969339 \h </w:instrText>
      </w:r>
      <w:r>
        <w:rPr>
          <w:noProof/>
        </w:rPr>
      </w:r>
      <w:r>
        <w:rPr>
          <w:noProof/>
        </w:rPr>
        <w:fldChar w:fldCharType="separate"/>
      </w:r>
      <w:r>
        <w:rPr>
          <w:noProof/>
        </w:rPr>
        <w:t>13</w:t>
      </w:r>
      <w:r>
        <w:rPr>
          <w:noProof/>
        </w:rPr>
        <w:fldChar w:fldCharType="end"/>
      </w:r>
    </w:p>
    <w:p w14:paraId="42FD3ABA" w14:textId="22E19DBF"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3: Brief country introduction</w:t>
      </w:r>
      <w:r>
        <w:rPr>
          <w:noProof/>
        </w:rPr>
        <w:tab/>
      </w:r>
      <w:r>
        <w:rPr>
          <w:noProof/>
        </w:rPr>
        <w:fldChar w:fldCharType="begin"/>
      </w:r>
      <w:r>
        <w:rPr>
          <w:noProof/>
        </w:rPr>
        <w:instrText xml:space="preserve"> PAGEREF _Toc500969340 \h </w:instrText>
      </w:r>
      <w:r>
        <w:rPr>
          <w:noProof/>
        </w:rPr>
      </w:r>
      <w:r>
        <w:rPr>
          <w:noProof/>
        </w:rPr>
        <w:fldChar w:fldCharType="separate"/>
      </w:r>
      <w:r>
        <w:rPr>
          <w:noProof/>
        </w:rPr>
        <w:t>15</w:t>
      </w:r>
      <w:r>
        <w:rPr>
          <w:noProof/>
        </w:rPr>
        <w:fldChar w:fldCharType="end"/>
      </w:r>
    </w:p>
    <w:p w14:paraId="07C2D6F4" w14:textId="622927CE"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4: Energy production in Niger</w:t>
      </w:r>
      <w:r>
        <w:rPr>
          <w:noProof/>
        </w:rPr>
        <w:tab/>
      </w:r>
      <w:r>
        <w:rPr>
          <w:noProof/>
        </w:rPr>
        <w:fldChar w:fldCharType="begin"/>
      </w:r>
      <w:r>
        <w:rPr>
          <w:noProof/>
        </w:rPr>
        <w:instrText xml:space="preserve"> PAGEREF _Toc500969341 \h </w:instrText>
      </w:r>
      <w:r>
        <w:rPr>
          <w:noProof/>
        </w:rPr>
      </w:r>
      <w:r>
        <w:rPr>
          <w:noProof/>
        </w:rPr>
        <w:fldChar w:fldCharType="separate"/>
      </w:r>
      <w:r>
        <w:rPr>
          <w:noProof/>
        </w:rPr>
        <w:t>16</w:t>
      </w:r>
      <w:r>
        <w:rPr>
          <w:noProof/>
        </w:rPr>
        <w:fldChar w:fldCharType="end"/>
      </w:r>
    </w:p>
    <w:p w14:paraId="58BCF8E6" w14:textId="272EBAB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5: Electricity tariffs in selected West African countries</w:t>
      </w:r>
      <w:r>
        <w:rPr>
          <w:noProof/>
        </w:rPr>
        <w:tab/>
      </w:r>
      <w:r>
        <w:rPr>
          <w:noProof/>
        </w:rPr>
        <w:fldChar w:fldCharType="begin"/>
      </w:r>
      <w:r>
        <w:rPr>
          <w:noProof/>
        </w:rPr>
        <w:instrText xml:space="preserve"> PAGEREF _Toc500969342 \h </w:instrText>
      </w:r>
      <w:r>
        <w:rPr>
          <w:noProof/>
        </w:rPr>
      </w:r>
      <w:r>
        <w:rPr>
          <w:noProof/>
        </w:rPr>
        <w:fldChar w:fldCharType="separate"/>
      </w:r>
      <w:r>
        <w:rPr>
          <w:noProof/>
        </w:rPr>
        <w:t>17</w:t>
      </w:r>
      <w:r>
        <w:rPr>
          <w:noProof/>
        </w:rPr>
        <w:fldChar w:fldCharType="end"/>
      </w:r>
    </w:p>
    <w:p w14:paraId="64A57A7A" w14:textId="1CD99C0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6: Map of the grid network, centres isolés, and grid extension plans in Niger</w:t>
      </w:r>
      <w:r>
        <w:rPr>
          <w:noProof/>
        </w:rPr>
        <w:tab/>
      </w:r>
      <w:r>
        <w:rPr>
          <w:noProof/>
        </w:rPr>
        <w:fldChar w:fldCharType="begin"/>
      </w:r>
      <w:r>
        <w:rPr>
          <w:noProof/>
        </w:rPr>
        <w:instrText xml:space="preserve"> PAGEREF _Toc500969343 \h </w:instrText>
      </w:r>
      <w:r>
        <w:rPr>
          <w:noProof/>
        </w:rPr>
      </w:r>
      <w:r>
        <w:rPr>
          <w:noProof/>
        </w:rPr>
        <w:fldChar w:fldCharType="separate"/>
      </w:r>
      <w:r>
        <w:rPr>
          <w:noProof/>
        </w:rPr>
        <w:t>18</w:t>
      </w:r>
      <w:r>
        <w:rPr>
          <w:noProof/>
        </w:rPr>
        <w:fldChar w:fldCharType="end"/>
      </w:r>
    </w:p>
    <w:p w14:paraId="3B587BE1" w14:textId="4429313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7: Map of electricity demand for selective consumer segments (annual demand in GWh)</w:t>
      </w:r>
      <w:r>
        <w:rPr>
          <w:noProof/>
        </w:rPr>
        <w:tab/>
      </w:r>
      <w:r>
        <w:rPr>
          <w:noProof/>
        </w:rPr>
        <w:fldChar w:fldCharType="begin"/>
      </w:r>
      <w:r>
        <w:rPr>
          <w:noProof/>
        </w:rPr>
        <w:instrText xml:space="preserve"> PAGEREF _Toc500969344 \h </w:instrText>
      </w:r>
      <w:r>
        <w:rPr>
          <w:noProof/>
        </w:rPr>
      </w:r>
      <w:r>
        <w:rPr>
          <w:noProof/>
        </w:rPr>
        <w:fldChar w:fldCharType="separate"/>
      </w:r>
      <w:r>
        <w:rPr>
          <w:noProof/>
        </w:rPr>
        <w:t>23</w:t>
      </w:r>
      <w:r>
        <w:rPr>
          <w:noProof/>
        </w:rPr>
        <w:fldChar w:fldCharType="end"/>
      </w:r>
    </w:p>
    <w:p w14:paraId="4C952D3F" w14:textId="357BA36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8: Overview of key insights gained from focus group discussions in Niger</w:t>
      </w:r>
      <w:r>
        <w:rPr>
          <w:noProof/>
        </w:rPr>
        <w:tab/>
      </w:r>
      <w:r>
        <w:rPr>
          <w:noProof/>
        </w:rPr>
        <w:fldChar w:fldCharType="begin"/>
      </w:r>
      <w:r>
        <w:rPr>
          <w:noProof/>
        </w:rPr>
        <w:instrText xml:space="preserve"> PAGEREF _Toc500969345 \h </w:instrText>
      </w:r>
      <w:r>
        <w:rPr>
          <w:noProof/>
        </w:rPr>
      </w:r>
      <w:r>
        <w:rPr>
          <w:noProof/>
        </w:rPr>
        <w:fldChar w:fldCharType="separate"/>
      </w:r>
      <w:r>
        <w:rPr>
          <w:noProof/>
        </w:rPr>
        <w:t>24</w:t>
      </w:r>
      <w:r>
        <w:rPr>
          <w:noProof/>
        </w:rPr>
        <w:fldChar w:fldCharType="end"/>
      </w:r>
    </w:p>
    <w:p w14:paraId="11F5A0CF" w14:textId="566FA7A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9: Solar lantern and solar home system sales volume potential without consumer financing</w:t>
      </w:r>
      <w:r>
        <w:rPr>
          <w:noProof/>
        </w:rPr>
        <w:tab/>
      </w:r>
      <w:r>
        <w:rPr>
          <w:noProof/>
        </w:rPr>
        <w:fldChar w:fldCharType="begin"/>
      </w:r>
      <w:r>
        <w:rPr>
          <w:noProof/>
        </w:rPr>
        <w:instrText xml:space="preserve"> PAGEREF _Toc500969346 \h </w:instrText>
      </w:r>
      <w:r>
        <w:rPr>
          <w:noProof/>
        </w:rPr>
      </w:r>
      <w:r>
        <w:rPr>
          <w:noProof/>
        </w:rPr>
        <w:fldChar w:fldCharType="separate"/>
      </w:r>
      <w:r>
        <w:rPr>
          <w:noProof/>
        </w:rPr>
        <w:t>28</w:t>
      </w:r>
      <w:r>
        <w:rPr>
          <w:noProof/>
        </w:rPr>
        <w:fldChar w:fldCharType="end"/>
      </w:r>
    </w:p>
    <w:p w14:paraId="1726CD4A" w14:textId="04704BA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10: Solar lantern and solar home system market by Region without consumer financing</w:t>
      </w:r>
      <w:r>
        <w:rPr>
          <w:noProof/>
        </w:rPr>
        <w:tab/>
      </w:r>
      <w:r>
        <w:rPr>
          <w:noProof/>
        </w:rPr>
        <w:fldChar w:fldCharType="begin"/>
      </w:r>
      <w:r>
        <w:rPr>
          <w:noProof/>
        </w:rPr>
        <w:instrText xml:space="preserve"> PAGEREF _Toc500969347 \h </w:instrText>
      </w:r>
      <w:r>
        <w:rPr>
          <w:noProof/>
        </w:rPr>
      </w:r>
      <w:r>
        <w:rPr>
          <w:noProof/>
        </w:rPr>
        <w:fldChar w:fldCharType="separate"/>
      </w:r>
      <w:r>
        <w:rPr>
          <w:noProof/>
        </w:rPr>
        <w:t>28</w:t>
      </w:r>
      <w:r>
        <w:rPr>
          <w:noProof/>
        </w:rPr>
        <w:fldChar w:fldCharType="end"/>
      </w:r>
    </w:p>
    <w:p w14:paraId="469E4A2D" w14:textId="293E689E"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lastRenderedPageBreak/>
        <w:t>Figure 11: Solar lantern and solar home system sales volume potential with consumer financing</w:t>
      </w:r>
      <w:r>
        <w:rPr>
          <w:noProof/>
        </w:rPr>
        <w:tab/>
      </w:r>
      <w:r>
        <w:rPr>
          <w:noProof/>
        </w:rPr>
        <w:fldChar w:fldCharType="begin"/>
      </w:r>
      <w:r>
        <w:rPr>
          <w:noProof/>
        </w:rPr>
        <w:instrText xml:space="preserve"> PAGEREF _Toc500969348 \h </w:instrText>
      </w:r>
      <w:r>
        <w:rPr>
          <w:noProof/>
        </w:rPr>
      </w:r>
      <w:r>
        <w:rPr>
          <w:noProof/>
        </w:rPr>
        <w:fldChar w:fldCharType="separate"/>
      </w:r>
      <w:r>
        <w:rPr>
          <w:noProof/>
        </w:rPr>
        <w:t>29</w:t>
      </w:r>
      <w:r>
        <w:rPr>
          <w:noProof/>
        </w:rPr>
        <w:fldChar w:fldCharType="end"/>
      </w:r>
    </w:p>
    <w:p w14:paraId="41908653" w14:textId="4748278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12: Solar lantern and solar home system market by Region with consumer financing</w:t>
      </w:r>
      <w:r>
        <w:rPr>
          <w:noProof/>
        </w:rPr>
        <w:tab/>
      </w:r>
      <w:r>
        <w:rPr>
          <w:noProof/>
        </w:rPr>
        <w:fldChar w:fldCharType="begin"/>
      </w:r>
      <w:r>
        <w:rPr>
          <w:noProof/>
        </w:rPr>
        <w:instrText xml:space="preserve"> PAGEREF _Toc500969349 \h </w:instrText>
      </w:r>
      <w:r>
        <w:rPr>
          <w:noProof/>
        </w:rPr>
      </w:r>
      <w:r>
        <w:rPr>
          <w:noProof/>
        </w:rPr>
        <w:fldChar w:fldCharType="separate"/>
      </w:r>
      <w:r>
        <w:rPr>
          <w:noProof/>
        </w:rPr>
        <w:t>30</w:t>
      </w:r>
      <w:r>
        <w:rPr>
          <w:noProof/>
        </w:rPr>
        <w:fldChar w:fldCharType="end"/>
      </w:r>
    </w:p>
    <w:p w14:paraId="607E0028" w14:textId="630E522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13: Annual cost of basic lighting by different lighting alternatives</w:t>
      </w:r>
      <w:r>
        <w:rPr>
          <w:noProof/>
        </w:rPr>
        <w:tab/>
      </w:r>
      <w:r>
        <w:rPr>
          <w:noProof/>
        </w:rPr>
        <w:fldChar w:fldCharType="begin"/>
      </w:r>
      <w:r>
        <w:rPr>
          <w:noProof/>
        </w:rPr>
        <w:instrText xml:space="preserve"> PAGEREF _Toc500969350 \h </w:instrText>
      </w:r>
      <w:r>
        <w:rPr>
          <w:noProof/>
        </w:rPr>
      </w:r>
      <w:r>
        <w:rPr>
          <w:noProof/>
        </w:rPr>
        <w:fldChar w:fldCharType="separate"/>
      </w:r>
      <w:r>
        <w:rPr>
          <w:noProof/>
        </w:rPr>
        <w:t>31</w:t>
      </w:r>
      <w:r>
        <w:rPr>
          <w:noProof/>
        </w:rPr>
        <w:fldChar w:fldCharType="end"/>
      </w:r>
    </w:p>
    <w:p w14:paraId="5CD8EED9" w14:textId="4473AD3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14: Cost comparison of a LED flashlight with a solar lantern with phone charging capabilities</w:t>
      </w:r>
      <w:r>
        <w:rPr>
          <w:noProof/>
        </w:rPr>
        <w:tab/>
      </w:r>
      <w:r>
        <w:rPr>
          <w:noProof/>
        </w:rPr>
        <w:fldChar w:fldCharType="begin"/>
      </w:r>
      <w:r>
        <w:rPr>
          <w:noProof/>
        </w:rPr>
        <w:instrText xml:space="preserve"> PAGEREF _Toc500969351 \h </w:instrText>
      </w:r>
      <w:r>
        <w:rPr>
          <w:noProof/>
        </w:rPr>
      </w:r>
      <w:r>
        <w:rPr>
          <w:noProof/>
        </w:rPr>
        <w:fldChar w:fldCharType="separate"/>
      </w:r>
      <w:r>
        <w:rPr>
          <w:noProof/>
        </w:rPr>
        <w:t>32</w:t>
      </w:r>
      <w:r>
        <w:rPr>
          <w:noProof/>
        </w:rPr>
        <w:fldChar w:fldCharType="end"/>
      </w:r>
    </w:p>
    <w:p w14:paraId="094FDF64" w14:textId="4CD1B24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15: Cost comparison of a diesel generator with a basic solar home system</w:t>
      </w:r>
      <w:r>
        <w:rPr>
          <w:noProof/>
        </w:rPr>
        <w:tab/>
      </w:r>
      <w:r>
        <w:rPr>
          <w:noProof/>
        </w:rPr>
        <w:fldChar w:fldCharType="begin"/>
      </w:r>
      <w:r>
        <w:rPr>
          <w:noProof/>
        </w:rPr>
        <w:instrText xml:space="preserve"> PAGEREF _Toc500969352 \h </w:instrText>
      </w:r>
      <w:r>
        <w:rPr>
          <w:noProof/>
        </w:rPr>
      </w:r>
      <w:r>
        <w:rPr>
          <w:noProof/>
        </w:rPr>
        <w:fldChar w:fldCharType="separate"/>
      </w:r>
      <w:r>
        <w:rPr>
          <w:noProof/>
        </w:rPr>
        <w:t>33</w:t>
      </w:r>
      <w:r>
        <w:rPr>
          <w:noProof/>
        </w:rPr>
        <w:fldChar w:fldCharType="end"/>
      </w:r>
    </w:p>
    <w:p w14:paraId="5839A9A9" w14:textId="3E65207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16: Scatterplot of annualized cost savings for schools in Niger</w:t>
      </w:r>
      <w:r>
        <w:rPr>
          <w:noProof/>
        </w:rPr>
        <w:tab/>
      </w:r>
      <w:r>
        <w:rPr>
          <w:noProof/>
        </w:rPr>
        <w:fldChar w:fldCharType="begin"/>
      </w:r>
      <w:r>
        <w:rPr>
          <w:noProof/>
        </w:rPr>
        <w:instrText xml:space="preserve"> PAGEREF _Toc500969353 \h </w:instrText>
      </w:r>
      <w:r>
        <w:rPr>
          <w:noProof/>
        </w:rPr>
      </w:r>
      <w:r>
        <w:rPr>
          <w:noProof/>
        </w:rPr>
        <w:fldChar w:fldCharType="separate"/>
      </w:r>
      <w:r>
        <w:rPr>
          <w:noProof/>
        </w:rPr>
        <w:t>37</w:t>
      </w:r>
      <w:r>
        <w:rPr>
          <w:noProof/>
        </w:rPr>
        <w:fldChar w:fldCharType="end"/>
      </w:r>
    </w:p>
    <w:p w14:paraId="372EAA49" w14:textId="21FA8F60"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17: Lifetime cost savings per solar street light</w:t>
      </w:r>
      <w:r>
        <w:rPr>
          <w:noProof/>
        </w:rPr>
        <w:tab/>
      </w:r>
      <w:r>
        <w:rPr>
          <w:noProof/>
        </w:rPr>
        <w:fldChar w:fldCharType="begin"/>
      </w:r>
      <w:r>
        <w:rPr>
          <w:noProof/>
        </w:rPr>
        <w:instrText xml:space="preserve"> PAGEREF _Toc500969354 \h </w:instrText>
      </w:r>
      <w:r>
        <w:rPr>
          <w:noProof/>
        </w:rPr>
      </w:r>
      <w:r>
        <w:rPr>
          <w:noProof/>
        </w:rPr>
        <w:fldChar w:fldCharType="separate"/>
      </w:r>
      <w:r>
        <w:rPr>
          <w:noProof/>
        </w:rPr>
        <w:t>58</w:t>
      </w:r>
      <w:r>
        <w:rPr>
          <w:noProof/>
        </w:rPr>
        <w:fldChar w:fldCharType="end"/>
      </w:r>
    </w:p>
    <w:p w14:paraId="14478FF5" w14:textId="5AB9AC9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18: The business environment in Niger</w:t>
      </w:r>
      <w:r>
        <w:rPr>
          <w:noProof/>
        </w:rPr>
        <w:tab/>
      </w:r>
      <w:r>
        <w:rPr>
          <w:noProof/>
        </w:rPr>
        <w:fldChar w:fldCharType="begin"/>
      </w:r>
      <w:r>
        <w:rPr>
          <w:noProof/>
        </w:rPr>
        <w:instrText xml:space="preserve"> PAGEREF _Toc500969355 \h </w:instrText>
      </w:r>
      <w:r>
        <w:rPr>
          <w:noProof/>
        </w:rPr>
      </w:r>
      <w:r>
        <w:rPr>
          <w:noProof/>
        </w:rPr>
        <w:fldChar w:fldCharType="separate"/>
      </w:r>
      <w:r>
        <w:rPr>
          <w:noProof/>
        </w:rPr>
        <w:t>60</w:t>
      </w:r>
      <w:r>
        <w:rPr>
          <w:noProof/>
        </w:rPr>
        <w:fldChar w:fldCharType="end"/>
      </w:r>
    </w:p>
    <w:p w14:paraId="186A70E4" w14:textId="132151B1"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19: Overview of recent key solar initiatives in Niger</w:t>
      </w:r>
      <w:r>
        <w:rPr>
          <w:noProof/>
        </w:rPr>
        <w:tab/>
      </w:r>
      <w:r>
        <w:rPr>
          <w:noProof/>
        </w:rPr>
        <w:fldChar w:fldCharType="begin"/>
      </w:r>
      <w:r>
        <w:rPr>
          <w:noProof/>
        </w:rPr>
        <w:instrText xml:space="preserve"> PAGEREF _Toc500969356 \h </w:instrText>
      </w:r>
      <w:r>
        <w:rPr>
          <w:noProof/>
        </w:rPr>
      </w:r>
      <w:r>
        <w:rPr>
          <w:noProof/>
        </w:rPr>
        <w:fldChar w:fldCharType="separate"/>
      </w:r>
      <w:r>
        <w:rPr>
          <w:noProof/>
        </w:rPr>
        <w:t>64</w:t>
      </w:r>
      <w:r>
        <w:rPr>
          <w:noProof/>
        </w:rPr>
        <w:fldChar w:fldCharType="end"/>
      </w:r>
    </w:p>
    <w:p w14:paraId="467987DC" w14:textId="54E78AA2"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20: Mobile penetration and mobile money uptake in Niger</w:t>
      </w:r>
      <w:r>
        <w:rPr>
          <w:noProof/>
        </w:rPr>
        <w:tab/>
      </w:r>
      <w:r>
        <w:rPr>
          <w:noProof/>
        </w:rPr>
        <w:fldChar w:fldCharType="begin"/>
      </w:r>
      <w:r>
        <w:rPr>
          <w:noProof/>
        </w:rPr>
        <w:instrText xml:space="preserve"> PAGEREF _Toc500969357 \h </w:instrText>
      </w:r>
      <w:r>
        <w:rPr>
          <w:noProof/>
        </w:rPr>
      </w:r>
      <w:r>
        <w:rPr>
          <w:noProof/>
        </w:rPr>
        <w:fldChar w:fldCharType="separate"/>
      </w:r>
      <w:r>
        <w:rPr>
          <w:noProof/>
        </w:rPr>
        <w:t>71</w:t>
      </w:r>
      <w:r>
        <w:rPr>
          <w:noProof/>
        </w:rPr>
        <w:fldChar w:fldCharType="end"/>
      </w:r>
    </w:p>
    <w:p w14:paraId="3F5DE321" w14:textId="48482F4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21: Key implementation steps for technical advisory services for solar operators</w:t>
      </w:r>
      <w:r>
        <w:rPr>
          <w:noProof/>
        </w:rPr>
        <w:tab/>
      </w:r>
      <w:r>
        <w:rPr>
          <w:noProof/>
        </w:rPr>
        <w:fldChar w:fldCharType="begin"/>
      </w:r>
      <w:r>
        <w:rPr>
          <w:noProof/>
        </w:rPr>
        <w:instrText xml:space="preserve"> PAGEREF _Toc500969358 \h </w:instrText>
      </w:r>
      <w:r>
        <w:rPr>
          <w:noProof/>
        </w:rPr>
      </w:r>
      <w:r>
        <w:rPr>
          <w:noProof/>
        </w:rPr>
        <w:fldChar w:fldCharType="separate"/>
      </w:r>
      <w:r>
        <w:rPr>
          <w:noProof/>
        </w:rPr>
        <w:t>85</w:t>
      </w:r>
      <w:r>
        <w:rPr>
          <w:noProof/>
        </w:rPr>
        <w:fldChar w:fldCharType="end"/>
      </w:r>
    </w:p>
    <w:p w14:paraId="0FDF4B86" w14:textId="5936436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22: Summary of inputs to the financial projections for a solar business in Niger</w:t>
      </w:r>
      <w:r>
        <w:rPr>
          <w:noProof/>
        </w:rPr>
        <w:tab/>
      </w:r>
      <w:r>
        <w:rPr>
          <w:noProof/>
        </w:rPr>
        <w:fldChar w:fldCharType="begin"/>
      </w:r>
      <w:r>
        <w:rPr>
          <w:noProof/>
        </w:rPr>
        <w:instrText xml:space="preserve"> PAGEREF _Toc500969359 \h </w:instrText>
      </w:r>
      <w:r>
        <w:rPr>
          <w:noProof/>
        </w:rPr>
      </w:r>
      <w:r>
        <w:rPr>
          <w:noProof/>
        </w:rPr>
        <w:fldChar w:fldCharType="separate"/>
      </w:r>
      <w:r>
        <w:rPr>
          <w:noProof/>
        </w:rPr>
        <w:t>87</w:t>
      </w:r>
      <w:r>
        <w:rPr>
          <w:noProof/>
        </w:rPr>
        <w:fldChar w:fldCharType="end"/>
      </w:r>
    </w:p>
    <w:p w14:paraId="046101B1" w14:textId="601817A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23: Key implementation steps for the grant funding program</w:t>
      </w:r>
      <w:r>
        <w:rPr>
          <w:noProof/>
        </w:rPr>
        <w:tab/>
      </w:r>
      <w:r>
        <w:rPr>
          <w:noProof/>
        </w:rPr>
        <w:fldChar w:fldCharType="begin"/>
      </w:r>
      <w:r>
        <w:rPr>
          <w:noProof/>
        </w:rPr>
        <w:instrText xml:space="preserve"> PAGEREF _Toc500969360 \h </w:instrText>
      </w:r>
      <w:r>
        <w:rPr>
          <w:noProof/>
        </w:rPr>
      </w:r>
      <w:r>
        <w:rPr>
          <w:noProof/>
        </w:rPr>
        <w:fldChar w:fldCharType="separate"/>
      </w:r>
      <w:r>
        <w:rPr>
          <w:noProof/>
        </w:rPr>
        <w:t>96</w:t>
      </w:r>
      <w:r>
        <w:rPr>
          <w:noProof/>
        </w:rPr>
        <w:fldChar w:fldCharType="end"/>
      </w:r>
    </w:p>
    <w:p w14:paraId="188A84A6" w14:textId="08C40C3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24: Summary of inputs to the financial projections for a solar water pump business in Niger</w:t>
      </w:r>
      <w:r>
        <w:rPr>
          <w:noProof/>
        </w:rPr>
        <w:tab/>
      </w:r>
      <w:r>
        <w:rPr>
          <w:noProof/>
        </w:rPr>
        <w:fldChar w:fldCharType="begin"/>
      </w:r>
      <w:r>
        <w:rPr>
          <w:noProof/>
        </w:rPr>
        <w:instrText xml:space="preserve"> PAGEREF _Toc500969361 \h </w:instrText>
      </w:r>
      <w:r>
        <w:rPr>
          <w:noProof/>
        </w:rPr>
      </w:r>
      <w:r>
        <w:rPr>
          <w:noProof/>
        </w:rPr>
        <w:fldChar w:fldCharType="separate"/>
      </w:r>
      <w:r>
        <w:rPr>
          <w:noProof/>
        </w:rPr>
        <w:t>98</w:t>
      </w:r>
      <w:r>
        <w:rPr>
          <w:noProof/>
        </w:rPr>
        <w:fldChar w:fldCharType="end"/>
      </w:r>
    </w:p>
    <w:p w14:paraId="150F8144" w14:textId="0FEDFEA5"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25: Grid reach and expansion potential in number of households</w:t>
      </w:r>
      <w:r>
        <w:rPr>
          <w:noProof/>
        </w:rPr>
        <w:tab/>
      </w:r>
      <w:r>
        <w:rPr>
          <w:noProof/>
        </w:rPr>
        <w:fldChar w:fldCharType="begin"/>
      </w:r>
      <w:r>
        <w:rPr>
          <w:noProof/>
        </w:rPr>
        <w:instrText xml:space="preserve"> PAGEREF _Toc500969362 \h </w:instrText>
      </w:r>
      <w:r>
        <w:rPr>
          <w:noProof/>
        </w:rPr>
      </w:r>
      <w:r>
        <w:rPr>
          <w:noProof/>
        </w:rPr>
        <w:fldChar w:fldCharType="separate"/>
      </w:r>
      <w:r>
        <w:rPr>
          <w:noProof/>
        </w:rPr>
        <w:t>103</w:t>
      </w:r>
      <w:r>
        <w:rPr>
          <w:noProof/>
        </w:rPr>
        <w:fldChar w:fldCharType="end"/>
      </w:r>
    </w:p>
    <w:p w14:paraId="0EDEC095" w14:textId="6647354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26: Map of Niger presenting off-grid energy demand by grid proximity</w:t>
      </w:r>
      <w:r>
        <w:rPr>
          <w:noProof/>
        </w:rPr>
        <w:tab/>
      </w:r>
      <w:r>
        <w:rPr>
          <w:noProof/>
        </w:rPr>
        <w:fldChar w:fldCharType="begin"/>
      </w:r>
      <w:r>
        <w:rPr>
          <w:noProof/>
        </w:rPr>
        <w:instrText xml:space="preserve"> PAGEREF _Toc500969363 \h </w:instrText>
      </w:r>
      <w:r>
        <w:rPr>
          <w:noProof/>
        </w:rPr>
      </w:r>
      <w:r>
        <w:rPr>
          <w:noProof/>
        </w:rPr>
        <w:fldChar w:fldCharType="separate"/>
      </w:r>
      <w:r>
        <w:rPr>
          <w:noProof/>
        </w:rPr>
        <w:t>104</w:t>
      </w:r>
      <w:r>
        <w:rPr>
          <w:noProof/>
        </w:rPr>
        <w:fldChar w:fldCharType="end"/>
      </w:r>
    </w:p>
    <w:p w14:paraId="128ED46C" w14:textId="152DCB2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Figure 27: Example PPP models for mini-grids</w:t>
      </w:r>
      <w:r>
        <w:rPr>
          <w:noProof/>
        </w:rPr>
        <w:tab/>
      </w:r>
      <w:r>
        <w:rPr>
          <w:noProof/>
        </w:rPr>
        <w:fldChar w:fldCharType="begin"/>
      </w:r>
      <w:r>
        <w:rPr>
          <w:noProof/>
        </w:rPr>
        <w:instrText xml:space="preserve"> PAGEREF _Toc500969364 \h </w:instrText>
      </w:r>
      <w:r>
        <w:rPr>
          <w:noProof/>
        </w:rPr>
      </w:r>
      <w:r>
        <w:rPr>
          <w:noProof/>
        </w:rPr>
        <w:fldChar w:fldCharType="separate"/>
      </w:r>
      <w:r>
        <w:rPr>
          <w:noProof/>
        </w:rPr>
        <w:t>110</w:t>
      </w:r>
      <w:r>
        <w:rPr>
          <w:noProof/>
        </w:rPr>
        <w:fldChar w:fldCharType="end"/>
      </w:r>
    </w:p>
    <w:p w14:paraId="76B0693E" w14:textId="0E44169A" w:rsidR="00745CF9" w:rsidRDefault="00C21E9E" w:rsidP="009769AD">
      <w:pPr>
        <w:rPr>
          <w:rFonts w:eastAsiaTheme="majorEastAsia" w:cs="Segoe UI"/>
          <w:b/>
          <w:color w:val="6BADB7" w:themeColor="accent1" w:themeShade="BF"/>
          <w:sz w:val="28"/>
          <w:szCs w:val="28"/>
        </w:rPr>
      </w:pPr>
      <w:r>
        <w:rPr>
          <w:rFonts w:eastAsiaTheme="majorEastAsia" w:cs="Segoe UI"/>
          <w:b/>
          <w:color w:val="6BADB7" w:themeColor="accent1" w:themeShade="BF"/>
          <w:sz w:val="28"/>
          <w:szCs w:val="28"/>
        </w:rPr>
        <w:fldChar w:fldCharType="end"/>
      </w:r>
    </w:p>
    <w:p w14:paraId="58CD691E" w14:textId="77777777" w:rsidR="003202BB" w:rsidRDefault="003202BB">
      <w:pPr>
        <w:rPr>
          <w:rFonts w:eastAsiaTheme="majorEastAsia" w:cs="Segoe UI"/>
          <w:b/>
          <w:color w:val="6BADB7" w:themeColor="accent1" w:themeShade="BF"/>
          <w:sz w:val="28"/>
          <w:szCs w:val="28"/>
        </w:rPr>
      </w:pPr>
      <w:r>
        <w:rPr>
          <w:rFonts w:eastAsiaTheme="majorEastAsia" w:cs="Segoe UI"/>
          <w:b/>
          <w:color w:val="6BADB7" w:themeColor="accent1" w:themeShade="BF"/>
          <w:sz w:val="28"/>
          <w:szCs w:val="28"/>
        </w:rPr>
        <w:br w:type="page"/>
      </w:r>
    </w:p>
    <w:p w14:paraId="1B5C4BA0" w14:textId="7F3CC137" w:rsidR="00C21E9E" w:rsidRPr="00DD38A9" w:rsidRDefault="00C21E9E" w:rsidP="009769AD">
      <w:pPr>
        <w:spacing w:after="240"/>
        <w:rPr>
          <w:rFonts w:eastAsiaTheme="majorEastAsia" w:cs="Segoe UI"/>
          <w:b/>
          <w:color w:val="6BADB7" w:themeColor="accent1" w:themeShade="BF"/>
          <w:sz w:val="28"/>
          <w:szCs w:val="28"/>
        </w:rPr>
      </w:pPr>
      <w:r>
        <w:rPr>
          <w:rFonts w:eastAsiaTheme="majorEastAsia" w:cs="Segoe UI"/>
          <w:b/>
          <w:color w:val="6BADB7" w:themeColor="accent1" w:themeShade="BF"/>
          <w:sz w:val="28"/>
          <w:szCs w:val="28"/>
        </w:rPr>
        <w:lastRenderedPageBreak/>
        <w:t>Table of tables</w:t>
      </w:r>
    </w:p>
    <w:p w14:paraId="5C02631E" w14:textId="4CDF5A42" w:rsidR="000D1C35" w:rsidRDefault="00C21E9E">
      <w:pPr>
        <w:pStyle w:val="TableofFigures"/>
        <w:tabs>
          <w:tab w:val="right" w:leader="dot" w:pos="9350"/>
        </w:tabs>
        <w:rPr>
          <w:rFonts w:asciiTheme="minorHAnsi" w:eastAsiaTheme="minorEastAsia" w:hAnsiTheme="minorHAnsi" w:cstheme="minorBidi"/>
          <w:i w:val="0"/>
          <w:iCs w:val="0"/>
          <w:noProof/>
          <w:sz w:val="22"/>
          <w:szCs w:val="22"/>
        </w:rPr>
      </w:pPr>
      <w:r w:rsidRPr="0083444B">
        <w:rPr>
          <w:rFonts w:cs="Segoe UI"/>
        </w:rPr>
        <w:fldChar w:fldCharType="begin"/>
      </w:r>
      <w:r w:rsidRPr="0083444B">
        <w:rPr>
          <w:rFonts w:cs="Segoe UI"/>
        </w:rPr>
        <w:instrText xml:space="preserve"> TOC \c "Table" </w:instrText>
      </w:r>
      <w:r w:rsidRPr="0083444B">
        <w:rPr>
          <w:rFonts w:cs="Segoe UI"/>
        </w:rPr>
        <w:fldChar w:fldCharType="separate"/>
      </w:r>
      <w:r w:rsidR="000D1C35">
        <w:rPr>
          <w:noProof/>
        </w:rPr>
        <w:t>Table 1: Overview of focus group discussions conducted</w:t>
      </w:r>
      <w:r w:rsidR="000D1C35">
        <w:rPr>
          <w:noProof/>
        </w:rPr>
        <w:tab/>
      </w:r>
      <w:r w:rsidR="000D1C35">
        <w:rPr>
          <w:noProof/>
        </w:rPr>
        <w:fldChar w:fldCharType="begin"/>
      </w:r>
      <w:r w:rsidR="000D1C35">
        <w:rPr>
          <w:noProof/>
        </w:rPr>
        <w:instrText xml:space="preserve"> PAGEREF _Toc500969365 \h </w:instrText>
      </w:r>
      <w:r w:rsidR="000D1C35">
        <w:rPr>
          <w:noProof/>
        </w:rPr>
      </w:r>
      <w:r w:rsidR="000D1C35">
        <w:rPr>
          <w:noProof/>
        </w:rPr>
        <w:fldChar w:fldCharType="separate"/>
      </w:r>
      <w:r w:rsidR="000D1C35">
        <w:rPr>
          <w:noProof/>
        </w:rPr>
        <w:t>12</w:t>
      </w:r>
      <w:r w:rsidR="000D1C35">
        <w:rPr>
          <w:noProof/>
        </w:rPr>
        <w:fldChar w:fldCharType="end"/>
      </w:r>
    </w:p>
    <w:p w14:paraId="62A168C3" w14:textId="080AC0D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 Solar market size by different segments</w:t>
      </w:r>
      <w:r>
        <w:rPr>
          <w:noProof/>
        </w:rPr>
        <w:tab/>
      </w:r>
      <w:r>
        <w:rPr>
          <w:noProof/>
        </w:rPr>
        <w:fldChar w:fldCharType="begin"/>
      </w:r>
      <w:r>
        <w:rPr>
          <w:noProof/>
        </w:rPr>
        <w:instrText xml:space="preserve"> PAGEREF _Toc500969366 \h </w:instrText>
      </w:r>
      <w:r>
        <w:rPr>
          <w:noProof/>
        </w:rPr>
      </w:r>
      <w:r>
        <w:rPr>
          <w:noProof/>
        </w:rPr>
        <w:fldChar w:fldCharType="separate"/>
      </w:r>
      <w:r>
        <w:rPr>
          <w:noProof/>
        </w:rPr>
        <w:t>21</w:t>
      </w:r>
      <w:r>
        <w:rPr>
          <w:noProof/>
        </w:rPr>
        <w:fldChar w:fldCharType="end"/>
      </w:r>
    </w:p>
    <w:p w14:paraId="653CEC23" w14:textId="004D0C4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 Representative solar devices for market sizing</w:t>
      </w:r>
      <w:r>
        <w:rPr>
          <w:noProof/>
        </w:rPr>
        <w:tab/>
      </w:r>
      <w:r>
        <w:rPr>
          <w:noProof/>
        </w:rPr>
        <w:fldChar w:fldCharType="begin"/>
      </w:r>
      <w:r>
        <w:rPr>
          <w:noProof/>
        </w:rPr>
        <w:instrText xml:space="preserve"> PAGEREF _Toc500969367 \h </w:instrText>
      </w:r>
      <w:r>
        <w:rPr>
          <w:noProof/>
        </w:rPr>
      </w:r>
      <w:r>
        <w:rPr>
          <w:noProof/>
        </w:rPr>
        <w:fldChar w:fldCharType="separate"/>
      </w:r>
      <w:r>
        <w:rPr>
          <w:noProof/>
        </w:rPr>
        <w:t>25</w:t>
      </w:r>
      <w:r>
        <w:rPr>
          <w:noProof/>
        </w:rPr>
        <w:fldChar w:fldCharType="end"/>
      </w:r>
    </w:p>
    <w:p w14:paraId="6D3BD8BF" w14:textId="7B6DA80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 Attainable price points for solar systems by household expenditure decile (2016 est.)</w:t>
      </w:r>
      <w:r>
        <w:rPr>
          <w:noProof/>
        </w:rPr>
        <w:tab/>
      </w:r>
      <w:r>
        <w:rPr>
          <w:noProof/>
        </w:rPr>
        <w:fldChar w:fldCharType="begin"/>
      </w:r>
      <w:r>
        <w:rPr>
          <w:noProof/>
        </w:rPr>
        <w:instrText xml:space="preserve"> PAGEREF _Toc500969368 \h </w:instrText>
      </w:r>
      <w:r>
        <w:rPr>
          <w:noProof/>
        </w:rPr>
      </w:r>
      <w:r>
        <w:rPr>
          <w:noProof/>
        </w:rPr>
        <w:fldChar w:fldCharType="separate"/>
      </w:r>
      <w:r>
        <w:rPr>
          <w:noProof/>
        </w:rPr>
        <w:t>26</w:t>
      </w:r>
      <w:r>
        <w:rPr>
          <w:noProof/>
        </w:rPr>
        <w:fldChar w:fldCharType="end"/>
      </w:r>
    </w:p>
    <w:p w14:paraId="2BF71604" w14:textId="64CC610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 Comparison of market size with and without 50% customs duties</w:t>
      </w:r>
      <w:r>
        <w:rPr>
          <w:noProof/>
        </w:rPr>
        <w:tab/>
      </w:r>
      <w:r>
        <w:rPr>
          <w:noProof/>
        </w:rPr>
        <w:fldChar w:fldCharType="begin"/>
      </w:r>
      <w:r>
        <w:rPr>
          <w:noProof/>
        </w:rPr>
        <w:instrText xml:space="preserve"> PAGEREF _Toc500969369 \h </w:instrText>
      </w:r>
      <w:r>
        <w:rPr>
          <w:noProof/>
        </w:rPr>
      </w:r>
      <w:r>
        <w:rPr>
          <w:noProof/>
        </w:rPr>
        <w:fldChar w:fldCharType="separate"/>
      </w:r>
      <w:r>
        <w:rPr>
          <w:noProof/>
        </w:rPr>
        <w:t>34</w:t>
      </w:r>
      <w:r>
        <w:rPr>
          <w:noProof/>
        </w:rPr>
        <w:fldChar w:fldCharType="end"/>
      </w:r>
    </w:p>
    <w:p w14:paraId="41147065" w14:textId="762AC139"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6: Comparison of energy access with and without 50% customs duties</w:t>
      </w:r>
      <w:r>
        <w:rPr>
          <w:noProof/>
        </w:rPr>
        <w:tab/>
      </w:r>
      <w:r>
        <w:rPr>
          <w:noProof/>
        </w:rPr>
        <w:fldChar w:fldCharType="begin"/>
      </w:r>
      <w:r>
        <w:rPr>
          <w:noProof/>
        </w:rPr>
        <w:instrText xml:space="preserve"> PAGEREF _Toc500969370 \h </w:instrText>
      </w:r>
      <w:r>
        <w:rPr>
          <w:noProof/>
        </w:rPr>
      </w:r>
      <w:r>
        <w:rPr>
          <w:noProof/>
        </w:rPr>
        <w:fldChar w:fldCharType="separate"/>
      </w:r>
      <w:r>
        <w:rPr>
          <w:noProof/>
        </w:rPr>
        <w:t>35</w:t>
      </w:r>
      <w:r>
        <w:rPr>
          <w:noProof/>
        </w:rPr>
        <w:fldChar w:fldCharType="end"/>
      </w:r>
    </w:p>
    <w:p w14:paraId="48289D78" w14:textId="6704B06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7: Annualized cost savings from solar usage for different educational institutions</w:t>
      </w:r>
      <w:r>
        <w:rPr>
          <w:noProof/>
        </w:rPr>
        <w:tab/>
      </w:r>
      <w:r>
        <w:rPr>
          <w:noProof/>
        </w:rPr>
        <w:fldChar w:fldCharType="begin"/>
      </w:r>
      <w:r>
        <w:rPr>
          <w:noProof/>
        </w:rPr>
        <w:instrText xml:space="preserve"> PAGEREF _Toc500969371 \h </w:instrText>
      </w:r>
      <w:r>
        <w:rPr>
          <w:noProof/>
        </w:rPr>
      </w:r>
      <w:r>
        <w:rPr>
          <w:noProof/>
        </w:rPr>
        <w:fldChar w:fldCharType="separate"/>
      </w:r>
      <w:r>
        <w:rPr>
          <w:noProof/>
        </w:rPr>
        <w:t>36</w:t>
      </w:r>
      <w:r>
        <w:rPr>
          <w:noProof/>
        </w:rPr>
        <w:fldChar w:fldCharType="end"/>
      </w:r>
    </w:p>
    <w:p w14:paraId="592DE912" w14:textId="6448324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8: Number of schools and solar market size by region</w:t>
      </w:r>
      <w:r>
        <w:rPr>
          <w:noProof/>
        </w:rPr>
        <w:tab/>
      </w:r>
      <w:r>
        <w:rPr>
          <w:noProof/>
        </w:rPr>
        <w:fldChar w:fldCharType="begin"/>
      </w:r>
      <w:r>
        <w:rPr>
          <w:noProof/>
        </w:rPr>
        <w:instrText xml:space="preserve"> PAGEREF _Toc500969372 \h </w:instrText>
      </w:r>
      <w:r>
        <w:rPr>
          <w:noProof/>
        </w:rPr>
      </w:r>
      <w:r>
        <w:rPr>
          <w:noProof/>
        </w:rPr>
        <w:fldChar w:fldCharType="separate"/>
      </w:r>
      <w:r>
        <w:rPr>
          <w:noProof/>
        </w:rPr>
        <w:t>38</w:t>
      </w:r>
      <w:r>
        <w:rPr>
          <w:noProof/>
        </w:rPr>
        <w:fldChar w:fldCharType="end"/>
      </w:r>
    </w:p>
    <w:p w14:paraId="515347A2" w14:textId="6C3790D1"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9: Annualized cost savings from solar usage for different health facilities</w:t>
      </w:r>
      <w:r>
        <w:rPr>
          <w:noProof/>
        </w:rPr>
        <w:tab/>
      </w:r>
      <w:r>
        <w:rPr>
          <w:noProof/>
        </w:rPr>
        <w:fldChar w:fldCharType="begin"/>
      </w:r>
      <w:r>
        <w:rPr>
          <w:noProof/>
        </w:rPr>
        <w:instrText xml:space="preserve"> PAGEREF _Toc500969373 \h </w:instrText>
      </w:r>
      <w:r>
        <w:rPr>
          <w:noProof/>
        </w:rPr>
      </w:r>
      <w:r>
        <w:rPr>
          <w:noProof/>
        </w:rPr>
        <w:fldChar w:fldCharType="separate"/>
      </w:r>
      <w:r>
        <w:rPr>
          <w:noProof/>
        </w:rPr>
        <w:t>39</w:t>
      </w:r>
      <w:r>
        <w:rPr>
          <w:noProof/>
        </w:rPr>
        <w:fldChar w:fldCharType="end"/>
      </w:r>
    </w:p>
    <w:p w14:paraId="02EFE181" w14:textId="7869136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10: Number of health facilities and solar market size by region</w:t>
      </w:r>
      <w:r>
        <w:rPr>
          <w:noProof/>
        </w:rPr>
        <w:tab/>
      </w:r>
      <w:r>
        <w:rPr>
          <w:noProof/>
        </w:rPr>
        <w:fldChar w:fldCharType="begin"/>
      </w:r>
      <w:r>
        <w:rPr>
          <w:noProof/>
        </w:rPr>
        <w:instrText xml:space="preserve"> PAGEREF _Toc500969374 \h </w:instrText>
      </w:r>
      <w:r>
        <w:rPr>
          <w:noProof/>
        </w:rPr>
      </w:r>
      <w:r>
        <w:rPr>
          <w:noProof/>
        </w:rPr>
        <w:fldChar w:fldCharType="separate"/>
      </w:r>
      <w:r>
        <w:rPr>
          <w:noProof/>
        </w:rPr>
        <w:t>40</w:t>
      </w:r>
      <w:r>
        <w:rPr>
          <w:noProof/>
        </w:rPr>
        <w:fldChar w:fldCharType="end"/>
      </w:r>
    </w:p>
    <w:p w14:paraId="47AAC890" w14:textId="499B2A9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11: Annualized cost savings from solar usage for different public buildings</w:t>
      </w:r>
      <w:r>
        <w:rPr>
          <w:noProof/>
        </w:rPr>
        <w:tab/>
      </w:r>
      <w:r>
        <w:rPr>
          <w:noProof/>
        </w:rPr>
        <w:fldChar w:fldCharType="begin"/>
      </w:r>
      <w:r>
        <w:rPr>
          <w:noProof/>
        </w:rPr>
        <w:instrText xml:space="preserve"> PAGEREF _Toc500969375 \h </w:instrText>
      </w:r>
      <w:r>
        <w:rPr>
          <w:noProof/>
        </w:rPr>
      </w:r>
      <w:r>
        <w:rPr>
          <w:noProof/>
        </w:rPr>
        <w:fldChar w:fldCharType="separate"/>
      </w:r>
      <w:r>
        <w:rPr>
          <w:noProof/>
        </w:rPr>
        <w:t>41</w:t>
      </w:r>
      <w:r>
        <w:rPr>
          <w:noProof/>
        </w:rPr>
        <w:fldChar w:fldCharType="end"/>
      </w:r>
    </w:p>
    <w:p w14:paraId="7DDD06B7" w14:textId="75AE80E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12: Number of other public buildings and solar market size by region</w:t>
      </w:r>
      <w:r>
        <w:rPr>
          <w:noProof/>
        </w:rPr>
        <w:tab/>
      </w:r>
      <w:r>
        <w:rPr>
          <w:noProof/>
        </w:rPr>
        <w:fldChar w:fldCharType="begin"/>
      </w:r>
      <w:r>
        <w:rPr>
          <w:noProof/>
        </w:rPr>
        <w:instrText xml:space="preserve"> PAGEREF _Toc500969376 \h </w:instrText>
      </w:r>
      <w:r>
        <w:rPr>
          <w:noProof/>
        </w:rPr>
      </w:r>
      <w:r>
        <w:rPr>
          <w:noProof/>
        </w:rPr>
        <w:fldChar w:fldCharType="separate"/>
      </w:r>
      <w:r>
        <w:rPr>
          <w:noProof/>
        </w:rPr>
        <w:t>42</w:t>
      </w:r>
      <w:r>
        <w:rPr>
          <w:noProof/>
        </w:rPr>
        <w:fldChar w:fldCharType="end"/>
      </w:r>
    </w:p>
    <w:p w14:paraId="2357997C" w14:textId="1B2D73E1"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13: Overview of ONAHA’s large irrigation schemes by Region</w:t>
      </w:r>
      <w:r>
        <w:rPr>
          <w:noProof/>
        </w:rPr>
        <w:tab/>
      </w:r>
      <w:r>
        <w:rPr>
          <w:noProof/>
        </w:rPr>
        <w:fldChar w:fldCharType="begin"/>
      </w:r>
      <w:r>
        <w:rPr>
          <w:noProof/>
        </w:rPr>
        <w:instrText xml:space="preserve"> PAGEREF _Toc500969377 \h </w:instrText>
      </w:r>
      <w:r>
        <w:rPr>
          <w:noProof/>
        </w:rPr>
      </w:r>
      <w:r>
        <w:rPr>
          <w:noProof/>
        </w:rPr>
        <w:fldChar w:fldCharType="separate"/>
      </w:r>
      <w:r>
        <w:rPr>
          <w:noProof/>
        </w:rPr>
        <w:t>43</w:t>
      </w:r>
      <w:r>
        <w:rPr>
          <w:noProof/>
        </w:rPr>
        <w:fldChar w:fldCharType="end"/>
      </w:r>
    </w:p>
    <w:p w14:paraId="72A7FF63" w14:textId="00C4DD1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14: The business case for selective AHAs</w:t>
      </w:r>
      <w:r>
        <w:rPr>
          <w:noProof/>
        </w:rPr>
        <w:tab/>
      </w:r>
      <w:r>
        <w:rPr>
          <w:noProof/>
        </w:rPr>
        <w:fldChar w:fldCharType="begin"/>
      </w:r>
      <w:r>
        <w:rPr>
          <w:noProof/>
        </w:rPr>
        <w:instrText xml:space="preserve"> PAGEREF _Toc500969378 \h </w:instrText>
      </w:r>
      <w:r>
        <w:rPr>
          <w:noProof/>
        </w:rPr>
      </w:r>
      <w:r>
        <w:rPr>
          <w:noProof/>
        </w:rPr>
        <w:fldChar w:fldCharType="separate"/>
      </w:r>
      <w:r>
        <w:rPr>
          <w:noProof/>
        </w:rPr>
        <w:t>44</w:t>
      </w:r>
      <w:r>
        <w:rPr>
          <w:noProof/>
        </w:rPr>
        <w:fldChar w:fldCharType="end"/>
      </w:r>
    </w:p>
    <w:p w14:paraId="31FD74E6" w14:textId="78E8F1CF"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15: Effect of pumping station size on the business case</w:t>
      </w:r>
      <w:r>
        <w:rPr>
          <w:noProof/>
        </w:rPr>
        <w:tab/>
      </w:r>
      <w:r>
        <w:rPr>
          <w:noProof/>
        </w:rPr>
        <w:fldChar w:fldCharType="begin"/>
      </w:r>
      <w:r>
        <w:rPr>
          <w:noProof/>
        </w:rPr>
        <w:instrText xml:space="preserve"> PAGEREF _Toc500969379 \h </w:instrText>
      </w:r>
      <w:r>
        <w:rPr>
          <w:noProof/>
        </w:rPr>
      </w:r>
      <w:r>
        <w:rPr>
          <w:noProof/>
        </w:rPr>
        <w:fldChar w:fldCharType="separate"/>
      </w:r>
      <w:r>
        <w:rPr>
          <w:noProof/>
        </w:rPr>
        <w:t>45</w:t>
      </w:r>
      <w:r>
        <w:rPr>
          <w:noProof/>
        </w:rPr>
        <w:fldChar w:fldCharType="end"/>
      </w:r>
    </w:p>
    <w:p w14:paraId="637A5FD0" w14:textId="57503DA9"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16: Different scenarios to present potential annualized market size</w:t>
      </w:r>
      <w:r>
        <w:rPr>
          <w:noProof/>
        </w:rPr>
        <w:tab/>
      </w:r>
      <w:r>
        <w:rPr>
          <w:noProof/>
        </w:rPr>
        <w:fldChar w:fldCharType="begin"/>
      </w:r>
      <w:r>
        <w:rPr>
          <w:noProof/>
        </w:rPr>
        <w:instrText xml:space="preserve"> PAGEREF _Toc500969380 \h </w:instrText>
      </w:r>
      <w:r>
        <w:rPr>
          <w:noProof/>
        </w:rPr>
      </w:r>
      <w:r>
        <w:rPr>
          <w:noProof/>
        </w:rPr>
        <w:fldChar w:fldCharType="separate"/>
      </w:r>
      <w:r>
        <w:rPr>
          <w:noProof/>
        </w:rPr>
        <w:t>45</w:t>
      </w:r>
      <w:r>
        <w:rPr>
          <w:noProof/>
        </w:rPr>
        <w:fldChar w:fldCharType="end"/>
      </w:r>
    </w:p>
    <w:p w14:paraId="68BA9A9B" w14:textId="0073B0D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17: Overview of water and power needs of different farm sizes and water sources</w:t>
      </w:r>
      <w:r>
        <w:rPr>
          <w:noProof/>
        </w:rPr>
        <w:tab/>
      </w:r>
      <w:r>
        <w:rPr>
          <w:noProof/>
        </w:rPr>
        <w:fldChar w:fldCharType="begin"/>
      </w:r>
      <w:r>
        <w:rPr>
          <w:noProof/>
        </w:rPr>
        <w:instrText xml:space="preserve"> PAGEREF _Toc500969381 \h </w:instrText>
      </w:r>
      <w:r>
        <w:rPr>
          <w:noProof/>
        </w:rPr>
      </w:r>
      <w:r>
        <w:rPr>
          <w:noProof/>
        </w:rPr>
        <w:fldChar w:fldCharType="separate"/>
      </w:r>
      <w:r>
        <w:rPr>
          <w:noProof/>
        </w:rPr>
        <w:t>47</w:t>
      </w:r>
      <w:r>
        <w:rPr>
          <w:noProof/>
        </w:rPr>
        <w:fldChar w:fldCharType="end"/>
      </w:r>
    </w:p>
    <w:p w14:paraId="59CA29AA" w14:textId="67406C7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18: Annualized cost savings from switching to solar-powered water pumps for irrigation</w:t>
      </w:r>
      <w:r>
        <w:rPr>
          <w:noProof/>
        </w:rPr>
        <w:tab/>
      </w:r>
      <w:r>
        <w:rPr>
          <w:noProof/>
        </w:rPr>
        <w:fldChar w:fldCharType="begin"/>
      </w:r>
      <w:r>
        <w:rPr>
          <w:noProof/>
        </w:rPr>
        <w:instrText xml:space="preserve"> PAGEREF _Toc500969382 \h </w:instrText>
      </w:r>
      <w:r>
        <w:rPr>
          <w:noProof/>
        </w:rPr>
      </w:r>
      <w:r>
        <w:rPr>
          <w:noProof/>
        </w:rPr>
        <w:fldChar w:fldCharType="separate"/>
      </w:r>
      <w:r>
        <w:rPr>
          <w:noProof/>
        </w:rPr>
        <w:t>48</w:t>
      </w:r>
      <w:r>
        <w:rPr>
          <w:noProof/>
        </w:rPr>
        <w:fldChar w:fldCharType="end"/>
      </w:r>
    </w:p>
    <w:p w14:paraId="3BAD342D" w14:textId="023E97C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19: Total market size in annualized sales volume and revenues after affordability considerations</w:t>
      </w:r>
      <w:r>
        <w:rPr>
          <w:noProof/>
        </w:rPr>
        <w:tab/>
      </w:r>
      <w:r>
        <w:rPr>
          <w:noProof/>
        </w:rPr>
        <w:fldChar w:fldCharType="begin"/>
      </w:r>
      <w:r>
        <w:rPr>
          <w:noProof/>
        </w:rPr>
        <w:instrText xml:space="preserve"> PAGEREF _Toc500969383 \h </w:instrText>
      </w:r>
      <w:r>
        <w:rPr>
          <w:noProof/>
        </w:rPr>
      </w:r>
      <w:r>
        <w:rPr>
          <w:noProof/>
        </w:rPr>
        <w:fldChar w:fldCharType="separate"/>
      </w:r>
      <w:r>
        <w:rPr>
          <w:noProof/>
        </w:rPr>
        <w:t>50</w:t>
      </w:r>
      <w:r>
        <w:rPr>
          <w:noProof/>
        </w:rPr>
        <w:fldChar w:fldCharType="end"/>
      </w:r>
    </w:p>
    <w:p w14:paraId="7EB77EE1" w14:textId="372D2195"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20: Annualized costs and cost savings from solar for different mill sizes</w:t>
      </w:r>
      <w:r>
        <w:rPr>
          <w:noProof/>
        </w:rPr>
        <w:tab/>
      </w:r>
      <w:r>
        <w:rPr>
          <w:noProof/>
        </w:rPr>
        <w:fldChar w:fldCharType="begin"/>
      </w:r>
      <w:r>
        <w:rPr>
          <w:noProof/>
        </w:rPr>
        <w:instrText xml:space="preserve"> PAGEREF _Toc500969384 \h </w:instrText>
      </w:r>
      <w:r>
        <w:rPr>
          <w:noProof/>
        </w:rPr>
      </w:r>
      <w:r>
        <w:rPr>
          <w:noProof/>
        </w:rPr>
        <w:fldChar w:fldCharType="separate"/>
      </w:r>
      <w:r>
        <w:rPr>
          <w:noProof/>
        </w:rPr>
        <w:t>51</w:t>
      </w:r>
      <w:r>
        <w:rPr>
          <w:noProof/>
        </w:rPr>
        <w:fldChar w:fldCharType="end"/>
      </w:r>
    </w:p>
    <w:p w14:paraId="608B8A74" w14:textId="4647997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21: Solar market for crop processing in Niger</w:t>
      </w:r>
      <w:r>
        <w:rPr>
          <w:noProof/>
        </w:rPr>
        <w:tab/>
      </w:r>
      <w:r>
        <w:rPr>
          <w:noProof/>
        </w:rPr>
        <w:fldChar w:fldCharType="begin"/>
      </w:r>
      <w:r>
        <w:rPr>
          <w:noProof/>
        </w:rPr>
        <w:instrText xml:space="preserve"> PAGEREF _Toc500969385 \h </w:instrText>
      </w:r>
      <w:r>
        <w:rPr>
          <w:noProof/>
        </w:rPr>
      </w:r>
      <w:r>
        <w:rPr>
          <w:noProof/>
        </w:rPr>
        <w:fldChar w:fldCharType="separate"/>
      </w:r>
      <w:r>
        <w:rPr>
          <w:noProof/>
        </w:rPr>
        <w:t>52</w:t>
      </w:r>
      <w:r>
        <w:rPr>
          <w:noProof/>
        </w:rPr>
        <w:fldChar w:fldCharType="end"/>
      </w:r>
    </w:p>
    <w:p w14:paraId="644B62C6" w14:textId="4DFB753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22: Solar market size for crop processing at different processing levels</w:t>
      </w:r>
      <w:r>
        <w:rPr>
          <w:noProof/>
        </w:rPr>
        <w:tab/>
      </w:r>
      <w:r>
        <w:rPr>
          <w:noProof/>
        </w:rPr>
        <w:fldChar w:fldCharType="begin"/>
      </w:r>
      <w:r>
        <w:rPr>
          <w:noProof/>
        </w:rPr>
        <w:instrText xml:space="preserve"> PAGEREF _Toc500969386 \h </w:instrText>
      </w:r>
      <w:r>
        <w:rPr>
          <w:noProof/>
        </w:rPr>
      </w:r>
      <w:r>
        <w:rPr>
          <w:noProof/>
        </w:rPr>
        <w:fldChar w:fldCharType="separate"/>
      </w:r>
      <w:r>
        <w:rPr>
          <w:noProof/>
        </w:rPr>
        <w:t>52</w:t>
      </w:r>
      <w:r>
        <w:rPr>
          <w:noProof/>
        </w:rPr>
        <w:fldChar w:fldCharType="end"/>
      </w:r>
    </w:p>
    <w:p w14:paraId="3B192F94" w14:textId="0712ABD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23: Average pump size, electricity consumption, and solar system size by pumping station</w:t>
      </w:r>
      <w:r>
        <w:rPr>
          <w:noProof/>
        </w:rPr>
        <w:tab/>
      </w:r>
      <w:r>
        <w:rPr>
          <w:noProof/>
        </w:rPr>
        <w:fldChar w:fldCharType="begin"/>
      </w:r>
      <w:r>
        <w:rPr>
          <w:noProof/>
        </w:rPr>
        <w:instrText xml:space="preserve"> PAGEREF _Toc500969387 \h </w:instrText>
      </w:r>
      <w:r>
        <w:rPr>
          <w:noProof/>
        </w:rPr>
      </w:r>
      <w:r>
        <w:rPr>
          <w:noProof/>
        </w:rPr>
        <w:fldChar w:fldCharType="separate"/>
      </w:r>
      <w:r>
        <w:rPr>
          <w:noProof/>
        </w:rPr>
        <w:t>54</w:t>
      </w:r>
      <w:r>
        <w:rPr>
          <w:noProof/>
        </w:rPr>
        <w:fldChar w:fldCharType="end"/>
      </w:r>
    </w:p>
    <w:p w14:paraId="50431EF3" w14:textId="6163F84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24: Overview of annualized costs of different power alternatives for pumping stations</w:t>
      </w:r>
      <w:r>
        <w:rPr>
          <w:noProof/>
        </w:rPr>
        <w:tab/>
      </w:r>
      <w:r>
        <w:rPr>
          <w:noProof/>
        </w:rPr>
        <w:fldChar w:fldCharType="begin"/>
      </w:r>
      <w:r>
        <w:rPr>
          <w:noProof/>
        </w:rPr>
        <w:instrText xml:space="preserve"> PAGEREF _Toc500969388 \h </w:instrText>
      </w:r>
      <w:r>
        <w:rPr>
          <w:noProof/>
        </w:rPr>
      </w:r>
      <w:r>
        <w:rPr>
          <w:noProof/>
        </w:rPr>
        <w:fldChar w:fldCharType="separate"/>
      </w:r>
      <w:r>
        <w:rPr>
          <w:noProof/>
        </w:rPr>
        <w:t>55</w:t>
      </w:r>
      <w:r>
        <w:rPr>
          <w:noProof/>
        </w:rPr>
        <w:fldChar w:fldCharType="end"/>
      </w:r>
    </w:p>
    <w:p w14:paraId="3A07367B" w14:textId="20C55DB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25: Annualized cost savings of switching to solar power for water pumping stations</w:t>
      </w:r>
      <w:r>
        <w:rPr>
          <w:noProof/>
        </w:rPr>
        <w:tab/>
      </w:r>
      <w:r>
        <w:rPr>
          <w:noProof/>
        </w:rPr>
        <w:fldChar w:fldCharType="begin"/>
      </w:r>
      <w:r>
        <w:rPr>
          <w:noProof/>
        </w:rPr>
        <w:instrText xml:space="preserve"> PAGEREF _Toc500969389 \h </w:instrText>
      </w:r>
      <w:r>
        <w:rPr>
          <w:noProof/>
        </w:rPr>
      </w:r>
      <w:r>
        <w:rPr>
          <w:noProof/>
        </w:rPr>
        <w:fldChar w:fldCharType="separate"/>
      </w:r>
      <w:r>
        <w:rPr>
          <w:noProof/>
        </w:rPr>
        <w:t>56</w:t>
      </w:r>
      <w:r>
        <w:rPr>
          <w:noProof/>
        </w:rPr>
        <w:fldChar w:fldCharType="end"/>
      </w:r>
    </w:p>
    <w:p w14:paraId="41C1DD3B" w14:textId="479E1DFC"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26: Assumptions on alternative power sources for water providers</w:t>
      </w:r>
      <w:r>
        <w:rPr>
          <w:noProof/>
        </w:rPr>
        <w:tab/>
      </w:r>
      <w:r>
        <w:rPr>
          <w:noProof/>
        </w:rPr>
        <w:fldChar w:fldCharType="begin"/>
      </w:r>
      <w:r>
        <w:rPr>
          <w:noProof/>
        </w:rPr>
        <w:instrText xml:space="preserve"> PAGEREF _Toc500969390 \h </w:instrText>
      </w:r>
      <w:r>
        <w:rPr>
          <w:noProof/>
        </w:rPr>
      </w:r>
      <w:r>
        <w:rPr>
          <w:noProof/>
        </w:rPr>
        <w:fldChar w:fldCharType="separate"/>
      </w:r>
      <w:r>
        <w:rPr>
          <w:noProof/>
        </w:rPr>
        <w:t>57</w:t>
      </w:r>
      <w:r>
        <w:rPr>
          <w:noProof/>
        </w:rPr>
        <w:fldChar w:fldCharType="end"/>
      </w:r>
    </w:p>
    <w:p w14:paraId="45510463" w14:textId="2A42D901"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27: Solar market for water providers by water station type and region</w:t>
      </w:r>
      <w:r>
        <w:rPr>
          <w:noProof/>
        </w:rPr>
        <w:tab/>
      </w:r>
      <w:r>
        <w:rPr>
          <w:noProof/>
        </w:rPr>
        <w:fldChar w:fldCharType="begin"/>
      </w:r>
      <w:r>
        <w:rPr>
          <w:noProof/>
        </w:rPr>
        <w:instrText xml:space="preserve"> PAGEREF _Toc500969391 \h </w:instrText>
      </w:r>
      <w:r>
        <w:rPr>
          <w:noProof/>
        </w:rPr>
      </w:r>
      <w:r>
        <w:rPr>
          <w:noProof/>
        </w:rPr>
        <w:fldChar w:fldCharType="separate"/>
      </w:r>
      <w:r>
        <w:rPr>
          <w:noProof/>
        </w:rPr>
        <w:t>57</w:t>
      </w:r>
      <w:r>
        <w:rPr>
          <w:noProof/>
        </w:rPr>
        <w:fldChar w:fldCharType="end"/>
      </w:r>
    </w:p>
    <w:p w14:paraId="50222FA4" w14:textId="7BF8009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28: Recommended interventions for standalone solar systems</w:t>
      </w:r>
      <w:r>
        <w:rPr>
          <w:noProof/>
        </w:rPr>
        <w:tab/>
      </w:r>
      <w:r>
        <w:rPr>
          <w:noProof/>
        </w:rPr>
        <w:fldChar w:fldCharType="begin"/>
      </w:r>
      <w:r>
        <w:rPr>
          <w:noProof/>
        </w:rPr>
        <w:instrText xml:space="preserve"> PAGEREF _Toc500969392 \h </w:instrText>
      </w:r>
      <w:r>
        <w:rPr>
          <w:noProof/>
        </w:rPr>
      </w:r>
      <w:r>
        <w:rPr>
          <w:noProof/>
        </w:rPr>
        <w:fldChar w:fldCharType="separate"/>
      </w:r>
      <w:r>
        <w:rPr>
          <w:noProof/>
        </w:rPr>
        <w:t>79</w:t>
      </w:r>
      <w:r>
        <w:rPr>
          <w:noProof/>
        </w:rPr>
        <w:fldChar w:fldCharType="end"/>
      </w:r>
    </w:p>
    <w:p w14:paraId="4A8A9313" w14:textId="342E290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29: Estimated funding requirements for an initial 2-year market development program</w:t>
      </w:r>
      <w:r>
        <w:rPr>
          <w:noProof/>
        </w:rPr>
        <w:tab/>
      </w:r>
      <w:r>
        <w:rPr>
          <w:noProof/>
        </w:rPr>
        <w:fldChar w:fldCharType="begin"/>
      </w:r>
      <w:r>
        <w:rPr>
          <w:noProof/>
        </w:rPr>
        <w:instrText xml:space="preserve"> PAGEREF _Toc500969393 \h </w:instrText>
      </w:r>
      <w:r>
        <w:rPr>
          <w:noProof/>
        </w:rPr>
      </w:r>
      <w:r>
        <w:rPr>
          <w:noProof/>
        </w:rPr>
        <w:fldChar w:fldCharType="separate"/>
      </w:r>
      <w:r>
        <w:rPr>
          <w:noProof/>
        </w:rPr>
        <w:t>81</w:t>
      </w:r>
      <w:r>
        <w:rPr>
          <w:noProof/>
        </w:rPr>
        <w:fldChar w:fldCharType="end"/>
      </w:r>
    </w:p>
    <w:p w14:paraId="41391A57" w14:textId="1AE93FF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30: Recommended areas for provision of technical assistance</w:t>
      </w:r>
      <w:r>
        <w:rPr>
          <w:noProof/>
        </w:rPr>
        <w:tab/>
      </w:r>
      <w:r>
        <w:rPr>
          <w:noProof/>
        </w:rPr>
        <w:fldChar w:fldCharType="begin"/>
      </w:r>
      <w:r>
        <w:rPr>
          <w:noProof/>
        </w:rPr>
        <w:instrText xml:space="preserve"> PAGEREF _Toc500969394 \h </w:instrText>
      </w:r>
      <w:r>
        <w:rPr>
          <w:noProof/>
        </w:rPr>
      </w:r>
      <w:r>
        <w:rPr>
          <w:noProof/>
        </w:rPr>
        <w:fldChar w:fldCharType="separate"/>
      </w:r>
      <w:r>
        <w:rPr>
          <w:noProof/>
        </w:rPr>
        <w:t>83</w:t>
      </w:r>
      <w:r>
        <w:rPr>
          <w:noProof/>
        </w:rPr>
        <w:fldChar w:fldCharType="end"/>
      </w:r>
    </w:p>
    <w:p w14:paraId="46B45EA9" w14:textId="2CCFB2B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31: Inventory financing facility capitalization requirements</w:t>
      </w:r>
      <w:r>
        <w:rPr>
          <w:noProof/>
        </w:rPr>
        <w:tab/>
      </w:r>
      <w:r>
        <w:rPr>
          <w:noProof/>
        </w:rPr>
        <w:fldChar w:fldCharType="begin"/>
      </w:r>
      <w:r>
        <w:rPr>
          <w:noProof/>
        </w:rPr>
        <w:instrText xml:space="preserve"> PAGEREF _Toc500969395 \h </w:instrText>
      </w:r>
      <w:r>
        <w:rPr>
          <w:noProof/>
        </w:rPr>
      </w:r>
      <w:r>
        <w:rPr>
          <w:noProof/>
        </w:rPr>
        <w:fldChar w:fldCharType="separate"/>
      </w:r>
      <w:r>
        <w:rPr>
          <w:noProof/>
        </w:rPr>
        <w:t>89</w:t>
      </w:r>
      <w:r>
        <w:rPr>
          <w:noProof/>
        </w:rPr>
        <w:fldChar w:fldCharType="end"/>
      </w:r>
    </w:p>
    <w:p w14:paraId="10A0582F" w14:textId="10765935"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32: Credit guarantee scheme for inventory financing facility exposure levels</w:t>
      </w:r>
      <w:r>
        <w:rPr>
          <w:noProof/>
        </w:rPr>
        <w:tab/>
      </w:r>
      <w:r>
        <w:rPr>
          <w:noProof/>
        </w:rPr>
        <w:fldChar w:fldCharType="begin"/>
      </w:r>
      <w:r>
        <w:rPr>
          <w:noProof/>
        </w:rPr>
        <w:instrText xml:space="preserve"> PAGEREF _Toc500969396 \h </w:instrText>
      </w:r>
      <w:r>
        <w:rPr>
          <w:noProof/>
        </w:rPr>
      </w:r>
      <w:r>
        <w:rPr>
          <w:noProof/>
        </w:rPr>
        <w:fldChar w:fldCharType="separate"/>
      </w:r>
      <w:r>
        <w:rPr>
          <w:noProof/>
        </w:rPr>
        <w:t>89</w:t>
      </w:r>
      <w:r>
        <w:rPr>
          <w:noProof/>
        </w:rPr>
        <w:fldChar w:fldCharType="end"/>
      </w:r>
    </w:p>
    <w:p w14:paraId="7263ADEE" w14:textId="3EDA1BE0"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33: Consumer loan financing facility capitalization requirements</w:t>
      </w:r>
      <w:r>
        <w:rPr>
          <w:noProof/>
        </w:rPr>
        <w:tab/>
      </w:r>
      <w:r>
        <w:rPr>
          <w:noProof/>
        </w:rPr>
        <w:fldChar w:fldCharType="begin"/>
      </w:r>
      <w:r>
        <w:rPr>
          <w:noProof/>
        </w:rPr>
        <w:instrText xml:space="preserve"> PAGEREF _Toc500969397 \h </w:instrText>
      </w:r>
      <w:r>
        <w:rPr>
          <w:noProof/>
        </w:rPr>
      </w:r>
      <w:r>
        <w:rPr>
          <w:noProof/>
        </w:rPr>
        <w:fldChar w:fldCharType="separate"/>
      </w:r>
      <w:r>
        <w:rPr>
          <w:noProof/>
        </w:rPr>
        <w:t>91</w:t>
      </w:r>
      <w:r>
        <w:rPr>
          <w:noProof/>
        </w:rPr>
        <w:fldChar w:fldCharType="end"/>
      </w:r>
    </w:p>
    <w:p w14:paraId="75147FC4" w14:textId="248714E1"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34: Credit guarantee scheme for consumer finance loan facility exposure levels</w:t>
      </w:r>
      <w:r>
        <w:rPr>
          <w:noProof/>
        </w:rPr>
        <w:tab/>
      </w:r>
      <w:r>
        <w:rPr>
          <w:noProof/>
        </w:rPr>
        <w:fldChar w:fldCharType="begin"/>
      </w:r>
      <w:r>
        <w:rPr>
          <w:noProof/>
        </w:rPr>
        <w:instrText xml:space="preserve"> PAGEREF _Toc500969398 \h </w:instrText>
      </w:r>
      <w:r>
        <w:rPr>
          <w:noProof/>
        </w:rPr>
      </w:r>
      <w:r>
        <w:rPr>
          <w:noProof/>
        </w:rPr>
        <w:fldChar w:fldCharType="separate"/>
      </w:r>
      <w:r>
        <w:rPr>
          <w:noProof/>
        </w:rPr>
        <w:t>92</w:t>
      </w:r>
      <w:r>
        <w:rPr>
          <w:noProof/>
        </w:rPr>
        <w:fldChar w:fldCharType="end"/>
      </w:r>
    </w:p>
    <w:p w14:paraId="2E76693B" w14:textId="2FCEEC2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35: Revised cashflows after provision of working capital facilities</w:t>
      </w:r>
      <w:r>
        <w:rPr>
          <w:noProof/>
        </w:rPr>
        <w:tab/>
      </w:r>
      <w:r>
        <w:rPr>
          <w:noProof/>
        </w:rPr>
        <w:fldChar w:fldCharType="begin"/>
      </w:r>
      <w:r>
        <w:rPr>
          <w:noProof/>
        </w:rPr>
        <w:instrText xml:space="preserve"> PAGEREF _Toc500969399 \h </w:instrText>
      </w:r>
      <w:r>
        <w:rPr>
          <w:noProof/>
        </w:rPr>
      </w:r>
      <w:r>
        <w:rPr>
          <w:noProof/>
        </w:rPr>
        <w:fldChar w:fldCharType="separate"/>
      </w:r>
      <w:r>
        <w:rPr>
          <w:noProof/>
        </w:rPr>
        <w:t>93</w:t>
      </w:r>
      <w:r>
        <w:rPr>
          <w:noProof/>
        </w:rPr>
        <w:fldChar w:fldCharType="end"/>
      </w:r>
    </w:p>
    <w:p w14:paraId="0FAFCCFC" w14:textId="5259F34B"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36: Facility capitalization requirements for RBF direct product subsidies</w:t>
      </w:r>
      <w:r>
        <w:rPr>
          <w:noProof/>
        </w:rPr>
        <w:tab/>
      </w:r>
      <w:r>
        <w:rPr>
          <w:noProof/>
        </w:rPr>
        <w:fldChar w:fldCharType="begin"/>
      </w:r>
      <w:r>
        <w:rPr>
          <w:noProof/>
        </w:rPr>
        <w:instrText xml:space="preserve"> PAGEREF _Toc500969400 \h </w:instrText>
      </w:r>
      <w:r>
        <w:rPr>
          <w:noProof/>
        </w:rPr>
      </w:r>
      <w:r>
        <w:rPr>
          <w:noProof/>
        </w:rPr>
        <w:fldChar w:fldCharType="separate"/>
      </w:r>
      <w:r>
        <w:rPr>
          <w:noProof/>
        </w:rPr>
        <w:t>94</w:t>
      </w:r>
      <w:r>
        <w:rPr>
          <w:noProof/>
        </w:rPr>
        <w:fldChar w:fldCharType="end"/>
      </w:r>
    </w:p>
    <w:p w14:paraId="66579D23" w14:textId="7338A56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37: Facility capitalization requirements for subsidized interest rates</w:t>
      </w:r>
      <w:r>
        <w:rPr>
          <w:noProof/>
        </w:rPr>
        <w:tab/>
      </w:r>
      <w:r>
        <w:rPr>
          <w:noProof/>
        </w:rPr>
        <w:fldChar w:fldCharType="begin"/>
      </w:r>
      <w:r>
        <w:rPr>
          <w:noProof/>
        </w:rPr>
        <w:instrText xml:space="preserve"> PAGEREF _Toc500969401 \h </w:instrText>
      </w:r>
      <w:r>
        <w:rPr>
          <w:noProof/>
        </w:rPr>
      </w:r>
      <w:r>
        <w:rPr>
          <w:noProof/>
        </w:rPr>
        <w:fldChar w:fldCharType="separate"/>
      </w:r>
      <w:r>
        <w:rPr>
          <w:noProof/>
        </w:rPr>
        <w:t>94</w:t>
      </w:r>
      <w:r>
        <w:rPr>
          <w:noProof/>
        </w:rPr>
        <w:fldChar w:fldCharType="end"/>
      </w:r>
    </w:p>
    <w:p w14:paraId="4A342D64" w14:textId="500207EF"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38: Recommended grant structure to incentivize market entry and expansion</w:t>
      </w:r>
      <w:r>
        <w:rPr>
          <w:noProof/>
        </w:rPr>
        <w:tab/>
      </w:r>
      <w:r>
        <w:rPr>
          <w:noProof/>
        </w:rPr>
        <w:fldChar w:fldCharType="begin"/>
      </w:r>
      <w:r>
        <w:rPr>
          <w:noProof/>
        </w:rPr>
        <w:instrText xml:space="preserve"> PAGEREF _Toc500969402 \h </w:instrText>
      </w:r>
      <w:r>
        <w:rPr>
          <w:noProof/>
        </w:rPr>
      </w:r>
      <w:r>
        <w:rPr>
          <w:noProof/>
        </w:rPr>
        <w:fldChar w:fldCharType="separate"/>
      </w:r>
      <w:r>
        <w:rPr>
          <w:noProof/>
        </w:rPr>
        <w:t>95</w:t>
      </w:r>
      <w:r>
        <w:rPr>
          <w:noProof/>
        </w:rPr>
        <w:fldChar w:fldCharType="end"/>
      </w:r>
    </w:p>
    <w:p w14:paraId="4EBE41D3" w14:textId="45731C55"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39: Financial and impact performance projections for solar water pump distributor</w:t>
      </w:r>
      <w:r>
        <w:rPr>
          <w:noProof/>
        </w:rPr>
        <w:tab/>
      </w:r>
      <w:r>
        <w:rPr>
          <w:noProof/>
        </w:rPr>
        <w:fldChar w:fldCharType="begin"/>
      </w:r>
      <w:r>
        <w:rPr>
          <w:noProof/>
        </w:rPr>
        <w:instrText xml:space="preserve"> PAGEREF _Toc500969403 \h </w:instrText>
      </w:r>
      <w:r>
        <w:rPr>
          <w:noProof/>
        </w:rPr>
      </w:r>
      <w:r>
        <w:rPr>
          <w:noProof/>
        </w:rPr>
        <w:fldChar w:fldCharType="separate"/>
      </w:r>
      <w:r>
        <w:rPr>
          <w:noProof/>
        </w:rPr>
        <w:t>99</w:t>
      </w:r>
      <w:r>
        <w:rPr>
          <w:noProof/>
        </w:rPr>
        <w:fldChar w:fldCharType="end"/>
      </w:r>
    </w:p>
    <w:p w14:paraId="73F01617" w14:textId="71D0693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40: Solar pumping kits - Inventory financing facility and guarantee funding requirements</w:t>
      </w:r>
      <w:r>
        <w:rPr>
          <w:noProof/>
        </w:rPr>
        <w:tab/>
      </w:r>
      <w:r>
        <w:rPr>
          <w:noProof/>
        </w:rPr>
        <w:fldChar w:fldCharType="begin"/>
      </w:r>
      <w:r>
        <w:rPr>
          <w:noProof/>
        </w:rPr>
        <w:instrText xml:space="preserve"> PAGEREF _Toc500969404 \h </w:instrText>
      </w:r>
      <w:r>
        <w:rPr>
          <w:noProof/>
        </w:rPr>
      </w:r>
      <w:r>
        <w:rPr>
          <w:noProof/>
        </w:rPr>
        <w:fldChar w:fldCharType="separate"/>
      </w:r>
      <w:r>
        <w:rPr>
          <w:noProof/>
        </w:rPr>
        <w:t>99</w:t>
      </w:r>
      <w:r>
        <w:rPr>
          <w:noProof/>
        </w:rPr>
        <w:fldChar w:fldCharType="end"/>
      </w:r>
    </w:p>
    <w:p w14:paraId="5C8C5369" w14:textId="15C85B7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41: Solar pumping kits – Consumer finance loan facility and guarantee funding requirements</w:t>
      </w:r>
      <w:r>
        <w:rPr>
          <w:noProof/>
        </w:rPr>
        <w:tab/>
      </w:r>
      <w:r>
        <w:rPr>
          <w:noProof/>
        </w:rPr>
        <w:fldChar w:fldCharType="begin"/>
      </w:r>
      <w:r>
        <w:rPr>
          <w:noProof/>
        </w:rPr>
        <w:instrText xml:space="preserve"> PAGEREF _Toc500969405 \h </w:instrText>
      </w:r>
      <w:r>
        <w:rPr>
          <w:noProof/>
        </w:rPr>
      </w:r>
      <w:r>
        <w:rPr>
          <w:noProof/>
        </w:rPr>
        <w:fldChar w:fldCharType="separate"/>
      </w:r>
      <w:r>
        <w:rPr>
          <w:noProof/>
        </w:rPr>
        <w:t>100</w:t>
      </w:r>
      <w:r>
        <w:rPr>
          <w:noProof/>
        </w:rPr>
        <w:fldChar w:fldCharType="end"/>
      </w:r>
    </w:p>
    <w:p w14:paraId="0E68C215" w14:textId="7580C0E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42: Nigerien localities by population size</w:t>
      </w:r>
      <w:r>
        <w:rPr>
          <w:noProof/>
        </w:rPr>
        <w:tab/>
      </w:r>
      <w:r>
        <w:rPr>
          <w:noProof/>
        </w:rPr>
        <w:fldChar w:fldCharType="begin"/>
      </w:r>
      <w:r>
        <w:rPr>
          <w:noProof/>
        </w:rPr>
        <w:instrText xml:space="preserve"> PAGEREF _Toc500969406 \h </w:instrText>
      </w:r>
      <w:r>
        <w:rPr>
          <w:noProof/>
        </w:rPr>
      </w:r>
      <w:r>
        <w:rPr>
          <w:noProof/>
        </w:rPr>
        <w:fldChar w:fldCharType="separate"/>
      </w:r>
      <w:r>
        <w:rPr>
          <w:noProof/>
        </w:rPr>
        <w:t>101</w:t>
      </w:r>
      <w:r>
        <w:rPr>
          <w:noProof/>
        </w:rPr>
        <w:fldChar w:fldCharType="end"/>
      </w:r>
    </w:p>
    <w:p w14:paraId="63EA586C" w14:textId="05A2EDBD"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43: The largest localities more than 20 kilometers of the grid</w:t>
      </w:r>
      <w:r>
        <w:rPr>
          <w:noProof/>
        </w:rPr>
        <w:tab/>
      </w:r>
      <w:r>
        <w:rPr>
          <w:noProof/>
        </w:rPr>
        <w:fldChar w:fldCharType="begin"/>
      </w:r>
      <w:r>
        <w:rPr>
          <w:noProof/>
        </w:rPr>
        <w:instrText xml:space="preserve"> PAGEREF _Toc500969407 \h </w:instrText>
      </w:r>
      <w:r>
        <w:rPr>
          <w:noProof/>
        </w:rPr>
      </w:r>
      <w:r>
        <w:rPr>
          <w:noProof/>
        </w:rPr>
        <w:fldChar w:fldCharType="separate"/>
      </w:r>
      <w:r>
        <w:rPr>
          <w:noProof/>
        </w:rPr>
        <w:t>111</w:t>
      </w:r>
      <w:r>
        <w:rPr>
          <w:noProof/>
        </w:rPr>
        <w:fldChar w:fldCharType="end"/>
      </w:r>
    </w:p>
    <w:p w14:paraId="304F1B4D" w14:textId="3A94D8A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44: Range of solar systems included in analysis for public institutions</w:t>
      </w:r>
      <w:r>
        <w:rPr>
          <w:noProof/>
        </w:rPr>
        <w:tab/>
      </w:r>
      <w:r>
        <w:rPr>
          <w:noProof/>
        </w:rPr>
        <w:fldChar w:fldCharType="begin"/>
      </w:r>
      <w:r>
        <w:rPr>
          <w:noProof/>
        </w:rPr>
        <w:instrText xml:space="preserve"> PAGEREF _Toc500969408 \h </w:instrText>
      </w:r>
      <w:r>
        <w:rPr>
          <w:noProof/>
        </w:rPr>
      </w:r>
      <w:r>
        <w:rPr>
          <w:noProof/>
        </w:rPr>
        <w:fldChar w:fldCharType="separate"/>
      </w:r>
      <w:r>
        <w:rPr>
          <w:noProof/>
        </w:rPr>
        <w:t>115</w:t>
      </w:r>
      <w:r>
        <w:rPr>
          <w:noProof/>
        </w:rPr>
        <w:fldChar w:fldCharType="end"/>
      </w:r>
    </w:p>
    <w:p w14:paraId="65D71A4F" w14:textId="10D1D35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lastRenderedPageBreak/>
        <w:t>Table 45: Electronic appliances by school type</w:t>
      </w:r>
      <w:r>
        <w:rPr>
          <w:noProof/>
        </w:rPr>
        <w:tab/>
      </w:r>
      <w:r>
        <w:rPr>
          <w:noProof/>
        </w:rPr>
        <w:fldChar w:fldCharType="begin"/>
      </w:r>
      <w:r>
        <w:rPr>
          <w:noProof/>
        </w:rPr>
        <w:instrText xml:space="preserve"> PAGEREF _Toc500969409 \h </w:instrText>
      </w:r>
      <w:r>
        <w:rPr>
          <w:noProof/>
        </w:rPr>
      </w:r>
      <w:r>
        <w:rPr>
          <w:noProof/>
        </w:rPr>
        <w:fldChar w:fldCharType="separate"/>
      </w:r>
      <w:r>
        <w:rPr>
          <w:noProof/>
        </w:rPr>
        <w:t>116</w:t>
      </w:r>
      <w:r>
        <w:rPr>
          <w:noProof/>
        </w:rPr>
        <w:fldChar w:fldCharType="end"/>
      </w:r>
    </w:p>
    <w:p w14:paraId="08193187" w14:textId="598B9CE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46: Assumptions on current electricity sources for schools</w:t>
      </w:r>
      <w:r>
        <w:rPr>
          <w:noProof/>
        </w:rPr>
        <w:tab/>
      </w:r>
      <w:r>
        <w:rPr>
          <w:noProof/>
        </w:rPr>
        <w:fldChar w:fldCharType="begin"/>
      </w:r>
      <w:r>
        <w:rPr>
          <w:noProof/>
        </w:rPr>
        <w:instrText xml:space="preserve"> PAGEREF _Toc500969410 \h </w:instrText>
      </w:r>
      <w:r>
        <w:rPr>
          <w:noProof/>
        </w:rPr>
      </w:r>
      <w:r>
        <w:rPr>
          <w:noProof/>
        </w:rPr>
        <w:fldChar w:fldCharType="separate"/>
      </w:r>
      <w:r>
        <w:rPr>
          <w:noProof/>
        </w:rPr>
        <w:t>116</w:t>
      </w:r>
      <w:r>
        <w:rPr>
          <w:noProof/>
        </w:rPr>
        <w:fldChar w:fldCharType="end"/>
      </w:r>
    </w:p>
    <w:p w14:paraId="498DBFF0" w14:textId="6E0071F5"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47: Electronic appliances by type of health facility</w:t>
      </w:r>
      <w:r>
        <w:rPr>
          <w:noProof/>
        </w:rPr>
        <w:tab/>
      </w:r>
      <w:r>
        <w:rPr>
          <w:noProof/>
        </w:rPr>
        <w:fldChar w:fldCharType="begin"/>
      </w:r>
      <w:r>
        <w:rPr>
          <w:noProof/>
        </w:rPr>
        <w:instrText xml:space="preserve"> PAGEREF _Toc500969411 \h </w:instrText>
      </w:r>
      <w:r>
        <w:rPr>
          <w:noProof/>
        </w:rPr>
      </w:r>
      <w:r>
        <w:rPr>
          <w:noProof/>
        </w:rPr>
        <w:fldChar w:fldCharType="separate"/>
      </w:r>
      <w:r>
        <w:rPr>
          <w:noProof/>
        </w:rPr>
        <w:t>117</w:t>
      </w:r>
      <w:r>
        <w:rPr>
          <w:noProof/>
        </w:rPr>
        <w:fldChar w:fldCharType="end"/>
      </w:r>
    </w:p>
    <w:p w14:paraId="5E09475B" w14:textId="529AF56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48: Assumptions on current electricity sources for health facilities</w:t>
      </w:r>
      <w:r>
        <w:rPr>
          <w:noProof/>
        </w:rPr>
        <w:tab/>
      </w:r>
      <w:r>
        <w:rPr>
          <w:noProof/>
        </w:rPr>
        <w:fldChar w:fldCharType="begin"/>
      </w:r>
      <w:r>
        <w:rPr>
          <w:noProof/>
        </w:rPr>
        <w:instrText xml:space="preserve"> PAGEREF _Toc500969412 \h </w:instrText>
      </w:r>
      <w:r>
        <w:rPr>
          <w:noProof/>
        </w:rPr>
      </w:r>
      <w:r>
        <w:rPr>
          <w:noProof/>
        </w:rPr>
        <w:fldChar w:fldCharType="separate"/>
      </w:r>
      <w:r>
        <w:rPr>
          <w:noProof/>
        </w:rPr>
        <w:t>117</w:t>
      </w:r>
      <w:r>
        <w:rPr>
          <w:noProof/>
        </w:rPr>
        <w:fldChar w:fldCharType="end"/>
      </w:r>
    </w:p>
    <w:p w14:paraId="250360DA" w14:textId="4A0B5A89"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49: Electronic appliances by public building type</w:t>
      </w:r>
      <w:r>
        <w:rPr>
          <w:noProof/>
        </w:rPr>
        <w:tab/>
      </w:r>
      <w:r>
        <w:rPr>
          <w:noProof/>
        </w:rPr>
        <w:fldChar w:fldCharType="begin"/>
      </w:r>
      <w:r>
        <w:rPr>
          <w:noProof/>
        </w:rPr>
        <w:instrText xml:space="preserve"> PAGEREF _Toc500969413 \h </w:instrText>
      </w:r>
      <w:r>
        <w:rPr>
          <w:noProof/>
        </w:rPr>
      </w:r>
      <w:r>
        <w:rPr>
          <w:noProof/>
        </w:rPr>
        <w:fldChar w:fldCharType="separate"/>
      </w:r>
      <w:r>
        <w:rPr>
          <w:noProof/>
        </w:rPr>
        <w:t>118</w:t>
      </w:r>
      <w:r>
        <w:rPr>
          <w:noProof/>
        </w:rPr>
        <w:fldChar w:fldCharType="end"/>
      </w:r>
    </w:p>
    <w:p w14:paraId="0DA7492A" w14:textId="1672A68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50: Assumptions on current electricity sources for other public buildings</w:t>
      </w:r>
      <w:r>
        <w:rPr>
          <w:noProof/>
        </w:rPr>
        <w:tab/>
      </w:r>
      <w:r>
        <w:rPr>
          <w:noProof/>
        </w:rPr>
        <w:fldChar w:fldCharType="begin"/>
      </w:r>
      <w:r>
        <w:rPr>
          <w:noProof/>
        </w:rPr>
        <w:instrText xml:space="preserve"> PAGEREF _Toc500969414 \h </w:instrText>
      </w:r>
      <w:r>
        <w:rPr>
          <w:noProof/>
        </w:rPr>
      </w:r>
      <w:r>
        <w:rPr>
          <w:noProof/>
        </w:rPr>
        <w:fldChar w:fldCharType="separate"/>
      </w:r>
      <w:r>
        <w:rPr>
          <w:noProof/>
        </w:rPr>
        <w:t>118</w:t>
      </w:r>
      <w:r>
        <w:rPr>
          <w:noProof/>
        </w:rPr>
        <w:fldChar w:fldCharType="end"/>
      </w:r>
    </w:p>
    <w:p w14:paraId="65AE8C0C" w14:textId="5C0F5E20"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51: Irrigation water needs and average flow capacities of pumping stations</w:t>
      </w:r>
      <w:r>
        <w:rPr>
          <w:noProof/>
        </w:rPr>
        <w:tab/>
      </w:r>
      <w:r>
        <w:rPr>
          <w:noProof/>
        </w:rPr>
        <w:fldChar w:fldCharType="begin"/>
      </w:r>
      <w:r>
        <w:rPr>
          <w:noProof/>
        </w:rPr>
        <w:instrText xml:space="preserve"> PAGEREF _Toc500969415 \h </w:instrText>
      </w:r>
      <w:r>
        <w:rPr>
          <w:noProof/>
        </w:rPr>
      </w:r>
      <w:r>
        <w:rPr>
          <w:noProof/>
        </w:rPr>
        <w:fldChar w:fldCharType="separate"/>
      </w:r>
      <w:r>
        <w:rPr>
          <w:noProof/>
        </w:rPr>
        <w:t>119</w:t>
      </w:r>
      <w:r>
        <w:rPr>
          <w:noProof/>
        </w:rPr>
        <w:fldChar w:fldCharType="end"/>
      </w:r>
    </w:p>
    <w:p w14:paraId="743FA69C" w14:textId="5322A83A"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52: Overview of solar system needs for selective AHA</w:t>
      </w:r>
      <w:r>
        <w:rPr>
          <w:noProof/>
        </w:rPr>
        <w:tab/>
      </w:r>
      <w:r>
        <w:rPr>
          <w:noProof/>
        </w:rPr>
        <w:fldChar w:fldCharType="begin"/>
      </w:r>
      <w:r>
        <w:rPr>
          <w:noProof/>
        </w:rPr>
        <w:instrText xml:space="preserve"> PAGEREF _Toc500969416 \h </w:instrText>
      </w:r>
      <w:r>
        <w:rPr>
          <w:noProof/>
        </w:rPr>
      </w:r>
      <w:r>
        <w:rPr>
          <w:noProof/>
        </w:rPr>
        <w:fldChar w:fldCharType="separate"/>
      </w:r>
      <w:r>
        <w:rPr>
          <w:noProof/>
        </w:rPr>
        <w:t>120</w:t>
      </w:r>
      <w:r>
        <w:rPr>
          <w:noProof/>
        </w:rPr>
        <w:fldChar w:fldCharType="end"/>
      </w:r>
    </w:p>
    <w:p w14:paraId="48E7B159" w14:textId="33C9F560"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53: Breakdown of irrigated land by farm type (small scale, individual irrigation schemes)</w:t>
      </w:r>
      <w:r>
        <w:rPr>
          <w:noProof/>
        </w:rPr>
        <w:tab/>
      </w:r>
      <w:r>
        <w:rPr>
          <w:noProof/>
        </w:rPr>
        <w:fldChar w:fldCharType="begin"/>
      </w:r>
      <w:r>
        <w:rPr>
          <w:noProof/>
        </w:rPr>
        <w:instrText xml:space="preserve"> PAGEREF _Toc500969417 \h </w:instrText>
      </w:r>
      <w:r>
        <w:rPr>
          <w:noProof/>
        </w:rPr>
      </w:r>
      <w:r>
        <w:rPr>
          <w:noProof/>
        </w:rPr>
        <w:fldChar w:fldCharType="separate"/>
      </w:r>
      <w:r>
        <w:rPr>
          <w:noProof/>
        </w:rPr>
        <w:t>121</w:t>
      </w:r>
      <w:r>
        <w:rPr>
          <w:noProof/>
        </w:rPr>
        <w:fldChar w:fldCharType="end"/>
      </w:r>
    </w:p>
    <w:p w14:paraId="7B8B74C7" w14:textId="4F7CABC0"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54: Irrigated land area by Region and breakdown of irrigated area by water source</w:t>
      </w:r>
      <w:r>
        <w:rPr>
          <w:noProof/>
        </w:rPr>
        <w:tab/>
      </w:r>
      <w:r>
        <w:rPr>
          <w:noProof/>
        </w:rPr>
        <w:fldChar w:fldCharType="begin"/>
      </w:r>
      <w:r>
        <w:rPr>
          <w:noProof/>
        </w:rPr>
        <w:instrText xml:space="preserve"> PAGEREF _Toc500969418 \h </w:instrText>
      </w:r>
      <w:r>
        <w:rPr>
          <w:noProof/>
        </w:rPr>
      </w:r>
      <w:r>
        <w:rPr>
          <w:noProof/>
        </w:rPr>
        <w:fldChar w:fldCharType="separate"/>
      </w:r>
      <w:r>
        <w:rPr>
          <w:noProof/>
        </w:rPr>
        <w:t>122</w:t>
      </w:r>
      <w:r>
        <w:rPr>
          <w:noProof/>
        </w:rPr>
        <w:fldChar w:fldCharType="end"/>
      </w:r>
    </w:p>
    <w:p w14:paraId="300BE124" w14:textId="1DACB368"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55: Overview of pumping solutions for irrigation</w:t>
      </w:r>
      <w:r>
        <w:rPr>
          <w:noProof/>
        </w:rPr>
        <w:tab/>
      </w:r>
      <w:r>
        <w:rPr>
          <w:noProof/>
        </w:rPr>
        <w:fldChar w:fldCharType="begin"/>
      </w:r>
      <w:r>
        <w:rPr>
          <w:noProof/>
        </w:rPr>
        <w:instrText xml:space="preserve"> PAGEREF _Toc500969419 \h </w:instrText>
      </w:r>
      <w:r>
        <w:rPr>
          <w:noProof/>
        </w:rPr>
      </w:r>
      <w:r>
        <w:rPr>
          <w:noProof/>
        </w:rPr>
        <w:fldChar w:fldCharType="separate"/>
      </w:r>
      <w:r>
        <w:rPr>
          <w:noProof/>
        </w:rPr>
        <w:t>123</w:t>
      </w:r>
      <w:r>
        <w:rPr>
          <w:noProof/>
        </w:rPr>
        <w:fldChar w:fldCharType="end"/>
      </w:r>
    </w:p>
    <w:p w14:paraId="52C8FCD1" w14:textId="4B36507E"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56: Overview of key crops, and estimation of energy consumption for milling</w:t>
      </w:r>
      <w:r>
        <w:rPr>
          <w:noProof/>
        </w:rPr>
        <w:tab/>
      </w:r>
      <w:r>
        <w:rPr>
          <w:noProof/>
        </w:rPr>
        <w:fldChar w:fldCharType="begin"/>
      </w:r>
      <w:r>
        <w:rPr>
          <w:noProof/>
        </w:rPr>
        <w:instrText xml:space="preserve"> PAGEREF _Toc500969420 \h </w:instrText>
      </w:r>
      <w:r>
        <w:rPr>
          <w:noProof/>
        </w:rPr>
      </w:r>
      <w:r>
        <w:rPr>
          <w:noProof/>
        </w:rPr>
        <w:fldChar w:fldCharType="separate"/>
      </w:r>
      <w:r>
        <w:rPr>
          <w:noProof/>
        </w:rPr>
        <w:t>124</w:t>
      </w:r>
      <w:r>
        <w:rPr>
          <w:noProof/>
        </w:rPr>
        <w:fldChar w:fldCharType="end"/>
      </w:r>
    </w:p>
    <w:p w14:paraId="0397B67F" w14:textId="38E9CC7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57: Overview of different mill sizes and milling capacities (theoretical construct)</w:t>
      </w:r>
      <w:r>
        <w:rPr>
          <w:noProof/>
        </w:rPr>
        <w:tab/>
      </w:r>
      <w:r>
        <w:rPr>
          <w:noProof/>
        </w:rPr>
        <w:fldChar w:fldCharType="begin"/>
      </w:r>
      <w:r>
        <w:rPr>
          <w:noProof/>
        </w:rPr>
        <w:instrText xml:space="preserve"> PAGEREF _Toc500969421 \h </w:instrText>
      </w:r>
      <w:r>
        <w:rPr>
          <w:noProof/>
        </w:rPr>
      </w:r>
      <w:r>
        <w:rPr>
          <w:noProof/>
        </w:rPr>
        <w:fldChar w:fldCharType="separate"/>
      </w:r>
      <w:r>
        <w:rPr>
          <w:noProof/>
        </w:rPr>
        <w:t>125</w:t>
      </w:r>
      <w:r>
        <w:rPr>
          <w:noProof/>
        </w:rPr>
        <w:fldChar w:fldCharType="end"/>
      </w:r>
    </w:p>
    <w:p w14:paraId="6E40CE12" w14:textId="6097D75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58: Number of different water stations by region</w:t>
      </w:r>
      <w:r>
        <w:rPr>
          <w:noProof/>
        </w:rPr>
        <w:tab/>
      </w:r>
      <w:r>
        <w:rPr>
          <w:noProof/>
        </w:rPr>
        <w:fldChar w:fldCharType="begin"/>
      </w:r>
      <w:r>
        <w:rPr>
          <w:noProof/>
        </w:rPr>
        <w:instrText xml:space="preserve"> PAGEREF _Toc500969422 \h </w:instrText>
      </w:r>
      <w:r>
        <w:rPr>
          <w:noProof/>
        </w:rPr>
      </w:r>
      <w:r>
        <w:rPr>
          <w:noProof/>
        </w:rPr>
        <w:fldChar w:fldCharType="separate"/>
      </w:r>
      <w:r>
        <w:rPr>
          <w:noProof/>
        </w:rPr>
        <w:t>126</w:t>
      </w:r>
      <w:r>
        <w:rPr>
          <w:noProof/>
        </w:rPr>
        <w:fldChar w:fldCharType="end"/>
      </w:r>
    </w:p>
    <w:p w14:paraId="472E81A0" w14:textId="492F9F53"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59: Water volume assessment by water point</w:t>
      </w:r>
      <w:r>
        <w:rPr>
          <w:noProof/>
        </w:rPr>
        <w:tab/>
      </w:r>
      <w:r>
        <w:rPr>
          <w:noProof/>
        </w:rPr>
        <w:fldChar w:fldCharType="begin"/>
      </w:r>
      <w:r>
        <w:rPr>
          <w:noProof/>
        </w:rPr>
        <w:instrText xml:space="preserve"> PAGEREF _Toc500969423 \h </w:instrText>
      </w:r>
      <w:r>
        <w:rPr>
          <w:noProof/>
        </w:rPr>
      </w:r>
      <w:r>
        <w:rPr>
          <w:noProof/>
        </w:rPr>
        <w:fldChar w:fldCharType="separate"/>
      </w:r>
      <w:r>
        <w:rPr>
          <w:noProof/>
        </w:rPr>
        <w:t>126</w:t>
      </w:r>
      <w:r>
        <w:rPr>
          <w:noProof/>
        </w:rPr>
        <w:fldChar w:fldCharType="end"/>
      </w:r>
    </w:p>
    <w:p w14:paraId="5E2F9EFB" w14:textId="355A8644"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60: Average borehole depth &amp; surface pumping distance by region and water station</w:t>
      </w:r>
      <w:r>
        <w:rPr>
          <w:noProof/>
        </w:rPr>
        <w:tab/>
      </w:r>
      <w:r>
        <w:rPr>
          <w:noProof/>
        </w:rPr>
        <w:fldChar w:fldCharType="begin"/>
      </w:r>
      <w:r>
        <w:rPr>
          <w:noProof/>
        </w:rPr>
        <w:instrText xml:space="preserve"> PAGEREF _Toc500969424 \h </w:instrText>
      </w:r>
      <w:r>
        <w:rPr>
          <w:noProof/>
        </w:rPr>
      </w:r>
      <w:r>
        <w:rPr>
          <w:noProof/>
        </w:rPr>
        <w:fldChar w:fldCharType="separate"/>
      </w:r>
      <w:r>
        <w:rPr>
          <w:noProof/>
        </w:rPr>
        <w:t>127</w:t>
      </w:r>
      <w:r>
        <w:rPr>
          <w:noProof/>
        </w:rPr>
        <w:fldChar w:fldCharType="end"/>
      </w:r>
    </w:p>
    <w:p w14:paraId="63F2E470" w14:textId="470C77A6"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61: Pumping station size requirements in kW by type and Region</w:t>
      </w:r>
      <w:r>
        <w:rPr>
          <w:noProof/>
        </w:rPr>
        <w:tab/>
      </w:r>
      <w:r>
        <w:rPr>
          <w:noProof/>
        </w:rPr>
        <w:fldChar w:fldCharType="begin"/>
      </w:r>
      <w:r>
        <w:rPr>
          <w:noProof/>
        </w:rPr>
        <w:instrText xml:space="preserve"> PAGEREF _Toc500969425 \h </w:instrText>
      </w:r>
      <w:r>
        <w:rPr>
          <w:noProof/>
        </w:rPr>
      </w:r>
      <w:r>
        <w:rPr>
          <w:noProof/>
        </w:rPr>
        <w:fldChar w:fldCharType="separate"/>
      </w:r>
      <w:r>
        <w:rPr>
          <w:noProof/>
        </w:rPr>
        <w:t>128</w:t>
      </w:r>
      <w:r>
        <w:rPr>
          <w:noProof/>
        </w:rPr>
        <w:fldChar w:fldCharType="end"/>
      </w:r>
    </w:p>
    <w:p w14:paraId="7832940C" w14:textId="2D9C8307" w:rsidR="000D1C35" w:rsidRDefault="000D1C35">
      <w:pPr>
        <w:pStyle w:val="TableofFigures"/>
        <w:tabs>
          <w:tab w:val="right" w:leader="dot" w:pos="9350"/>
        </w:tabs>
        <w:rPr>
          <w:rFonts w:asciiTheme="minorHAnsi" w:eastAsiaTheme="minorEastAsia" w:hAnsiTheme="minorHAnsi" w:cstheme="minorBidi"/>
          <w:i w:val="0"/>
          <w:iCs w:val="0"/>
          <w:noProof/>
          <w:sz w:val="22"/>
          <w:szCs w:val="22"/>
        </w:rPr>
      </w:pPr>
      <w:r>
        <w:rPr>
          <w:noProof/>
        </w:rPr>
        <w:t>Table 62: Average pump size, electricity consumption, and solar system size by pumping station</w:t>
      </w:r>
      <w:r>
        <w:rPr>
          <w:noProof/>
        </w:rPr>
        <w:tab/>
      </w:r>
      <w:r>
        <w:rPr>
          <w:noProof/>
        </w:rPr>
        <w:fldChar w:fldCharType="begin"/>
      </w:r>
      <w:r>
        <w:rPr>
          <w:noProof/>
        </w:rPr>
        <w:instrText xml:space="preserve"> PAGEREF _Toc500969426 \h </w:instrText>
      </w:r>
      <w:r>
        <w:rPr>
          <w:noProof/>
        </w:rPr>
      </w:r>
      <w:r>
        <w:rPr>
          <w:noProof/>
        </w:rPr>
        <w:fldChar w:fldCharType="separate"/>
      </w:r>
      <w:r>
        <w:rPr>
          <w:noProof/>
        </w:rPr>
        <w:t>128</w:t>
      </w:r>
      <w:r>
        <w:rPr>
          <w:noProof/>
        </w:rPr>
        <w:fldChar w:fldCharType="end"/>
      </w:r>
    </w:p>
    <w:p w14:paraId="31C7535A" w14:textId="37A0A228" w:rsidR="00C21E9E" w:rsidRDefault="00C21E9E" w:rsidP="009769AD">
      <w:pPr>
        <w:rPr>
          <w:rFonts w:eastAsiaTheme="majorEastAsia" w:cs="Segoe UI"/>
          <w:b/>
          <w:bCs/>
          <w:color w:val="6BADB7" w:themeColor="accent1" w:themeShade="BF"/>
          <w:sz w:val="28"/>
          <w:szCs w:val="28"/>
        </w:rPr>
      </w:pPr>
      <w:r w:rsidRPr="0083444B">
        <w:rPr>
          <w:rFonts w:cs="Segoe UI"/>
          <w:i/>
          <w:sz w:val="20"/>
          <w:szCs w:val="20"/>
        </w:rPr>
        <w:fldChar w:fldCharType="end"/>
      </w:r>
      <w:r>
        <w:rPr>
          <w:rFonts w:cs="Segoe UI"/>
        </w:rPr>
        <w:br w:type="page"/>
      </w:r>
    </w:p>
    <w:p w14:paraId="15A7BD11" w14:textId="72DB4260" w:rsidR="00BD5011" w:rsidRDefault="00BD5011" w:rsidP="00BD5011">
      <w:pPr>
        <w:pStyle w:val="H1NEWreportStyle"/>
      </w:pPr>
      <w:bookmarkStart w:id="1" w:name="_Toc501097023"/>
      <w:r>
        <w:lastRenderedPageBreak/>
        <w:t>Executive summary</w:t>
      </w:r>
      <w:bookmarkEnd w:id="1"/>
    </w:p>
    <w:p w14:paraId="4C284791" w14:textId="09E19478" w:rsidR="00864470" w:rsidRPr="005044E5" w:rsidRDefault="00864470" w:rsidP="00864470">
      <w:pPr>
        <w:jc w:val="both"/>
        <w:rPr>
          <w:rFonts w:cs="Segoe UI"/>
        </w:rPr>
      </w:pPr>
      <w:r w:rsidRPr="005044E5">
        <w:rPr>
          <w:rFonts w:cs="Segoe UI"/>
        </w:rPr>
        <w:t>For many years, Niger has been one of the poorest countries in the world, and in 2016, the United Nations ranked Niger as the second least developed country in the world based on its Human Development Index.</w:t>
      </w:r>
      <w:r w:rsidRPr="005044E5">
        <w:rPr>
          <w:rStyle w:val="FootnoteReference"/>
          <w:rFonts w:cs="Segoe UI"/>
        </w:rPr>
        <w:footnoteReference w:id="1"/>
      </w:r>
      <w:r w:rsidRPr="005044E5">
        <w:rPr>
          <w:rFonts w:cs="Segoe UI"/>
        </w:rPr>
        <w:t xml:space="preserve"> Agriculture is the main source of income for around 90% of the population, and limited economic development and diversification translates into </w:t>
      </w:r>
      <w:r w:rsidR="00652185">
        <w:rPr>
          <w:rFonts w:cs="Segoe UI"/>
        </w:rPr>
        <w:t>few</w:t>
      </w:r>
      <w:r w:rsidR="00652185" w:rsidRPr="005044E5">
        <w:rPr>
          <w:rFonts w:cs="Segoe UI"/>
        </w:rPr>
        <w:t xml:space="preserve"> </w:t>
      </w:r>
      <w:r w:rsidRPr="005044E5">
        <w:rPr>
          <w:rFonts w:cs="Segoe UI"/>
        </w:rPr>
        <w:t xml:space="preserve">prospects for work </w:t>
      </w:r>
      <w:r w:rsidR="00652185">
        <w:rPr>
          <w:rFonts w:cs="Segoe UI"/>
        </w:rPr>
        <w:t>other than</w:t>
      </w:r>
      <w:r w:rsidR="00652185" w:rsidRPr="005044E5">
        <w:rPr>
          <w:rFonts w:cs="Segoe UI"/>
        </w:rPr>
        <w:t xml:space="preserve"> </w:t>
      </w:r>
      <w:r w:rsidRPr="005044E5">
        <w:rPr>
          <w:rFonts w:cs="Segoe UI"/>
        </w:rPr>
        <w:t>subsistence farming and herding.</w:t>
      </w:r>
      <w:r w:rsidRPr="005044E5">
        <w:rPr>
          <w:rStyle w:val="FootnoteReference"/>
          <w:rFonts w:cs="Segoe UI"/>
        </w:rPr>
        <w:footnoteReference w:id="2"/>
      </w:r>
      <w:r w:rsidRPr="005044E5">
        <w:rPr>
          <w:rFonts w:cs="Segoe UI"/>
        </w:rPr>
        <w:t xml:space="preserve"> </w:t>
      </w:r>
    </w:p>
    <w:p w14:paraId="2D96EC50" w14:textId="6D65382E" w:rsidR="008650E2" w:rsidRPr="005044E5" w:rsidRDefault="00864470" w:rsidP="007E5276">
      <w:pPr>
        <w:jc w:val="both"/>
        <w:rPr>
          <w:rFonts w:cs="Segoe UI"/>
        </w:rPr>
      </w:pPr>
      <w:r w:rsidRPr="005044E5">
        <w:rPr>
          <w:rFonts w:cs="Segoe UI"/>
        </w:rPr>
        <w:t xml:space="preserve">Access to electricity is a key enabler of economic development, and has a significant positive impact on living conditions and security within communities. </w:t>
      </w:r>
      <w:r w:rsidR="00BB5D7A" w:rsidRPr="005044E5">
        <w:rPr>
          <w:rFonts w:cs="Segoe UI"/>
        </w:rPr>
        <w:t>In Niger, on</w:t>
      </w:r>
      <w:r w:rsidR="00F12494" w:rsidRPr="005044E5">
        <w:rPr>
          <w:rFonts w:cs="Segoe UI"/>
        </w:rPr>
        <w:t xml:space="preserve">ly around 10% of the </w:t>
      </w:r>
      <w:r w:rsidR="004B4C46" w:rsidRPr="005044E5">
        <w:rPr>
          <w:rFonts w:cs="Segoe UI"/>
        </w:rPr>
        <w:t xml:space="preserve">overall </w:t>
      </w:r>
      <w:r w:rsidR="00F12494" w:rsidRPr="005044E5">
        <w:rPr>
          <w:rFonts w:cs="Segoe UI"/>
        </w:rPr>
        <w:t>population</w:t>
      </w:r>
      <w:r w:rsidR="004B4C46" w:rsidRPr="005044E5">
        <w:rPr>
          <w:rFonts w:cs="Segoe UI"/>
        </w:rPr>
        <w:t xml:space="preserve"> and 1% of the rural population</w:t>
      </w:r>
      <w:r w:rsidR="00F12494" w:rsidRPr="005044E5">
        <w:rPr>
          <w:rFonts w:cs="Segoe UI"/>
        </w:rPr>
        <w:t xml:space="preserve"> have access to electricity from the grid</w:t>
      </w:r>
      <w:r w:rsidR="007E5276" w:rsidRPr="005044E5">
        <w:rPr>
          <w:rFonts w:cs="Segoe UI"/>
        </w:rPr>
        <w:t xml:space="preserve">. </w:t>
      </w:r>
      <w:r w:rsidR="004B4C46" w:rsidRPr="005044E5">
        <w:rPr>
          <w:rFonts w:cs="Segoe UI"/>
        </w:rPr>
        <w:t xml:space="preserve">Grid-connections </w:t>
      </w:r>
      <w:r w:rsidR="007E5276" w:rsidRPr="005044E5">
        <w:rPr>
          <w:rFonts w:cs="Segoe UI"/>
        </w:rPr>
        <w:t>experienc</w:t>
      </w:r>
      <w:r w:rsidR="004B4C46" w:rsidRPr="005044E5">
        <w:rPr>
          <w:rFonts w:cs="Segoe UI"/>
        </w:rPr>
        <w:t>e</w:t>
      </w:r>
      <w:r w:rsidR="007E5276" w:rsidRPr="005044E5">
        <w:rPr>
          <w:rFonts w:cs="Segoe UI"/>
        </w:rPr>
        <w:t xml:space="preserve"> frequent brownouts and blackouts, and the grid supply is heavily dependent on energy imports. </w:t>
      </w:r>
      <w:r w:rsidR="00F907FB" w:rsidRPr="005044E5">
        <w:rPr>
          <w:rFonts w:cs="Segoe UI"/>
        </w:rPr>
        <w:t xml:space="preserve">Despite efforts to increase generation and </w:t>
      </w:r>
      <w:r w:rsidR="004B4C46" w:rsidRPr="005044E5">
        <w:rPr>
          <w:rFonts w:cs="Segoe UI"/>
        </w:rPr>
        <w:t>grid connectivity</w:t>
      </w:r>
      <w:r w:rsidR="00F907FB" w:rsidRPr="005044E5">
        <w:rPr>
          <w:rFonts w:cs="Segoe UI"/>
        </w:rPr>
        <w:t xml:space="preserve">, the grid is unlikely to meet </w:t>
      </w:r>
      <w:r w:rsidR="004B4C46" w:rsidRPr="005044E5">
        <w:rPr>
          <w:rFonts w:cs="Segoe UI"/>
        </w:rPr>
        <w:t xml:space="preserve">Niger’s increasing energy demand. </w:t>
      </w:r>
      <w:r w:rsidR="008650E2" w:rsidRPr="005044E5">
        <w:rPr>
          <w:rFonts w:cs="Segoe UI"/>
        </w:rPr>
        <w:t xml:space="preserve">Efforts to extend the grid are impeded by low population densities and purchasing power: an estimated 27% of the Nigerien population live in </w:t>
      </w:r>
      <w:r w:rsidR="00652185">
        <w:rPr>
          <w:rFonts w:cs="Segoe UI"/>
        </w:rPr>
        <w:t>l</w:t>
      </w:r>
      <w:r w:rsidR="00652185" w:rsidRPr="005044E5">
        <w:rPr>
          <w:rFonts w:cs="Segoe UI"/>
        </w:rPr>
        <w:t>oca</w:t>
      </w:r>
      <w:r w:rsidR="00703309">
        <w:rPr>
          <w:rFonts w:cs="Segoe UI"/>
        </w:rPr>
        <w:t xml:space="preserve">lities </w:t>
      </w:r>
      <w:r w:rsidR="008650E2" w:rsidRPr="005044E5">
        <w:rPr>
          <w:rFonts w:cs="Segoe UI"/>
        </w:rPr>
        <w:t xml:space="preserve">with a population of less than 500 people, and further 42% in </w:t>
      </w:r>
      <w:r w:rsidR="00652185">
        <w:rPr>
          <w:rFonts w:cs="Segoe UI"/>
        </w:rPr>
        <w:t>l</w:t>
      </w:r>
      <w:r w:rsidR="008650E2" w:rsidRPr="005044E5">
        <w:rPr>
          <w:rFonts w:cs="Segoe UI"/>
        </w:rPr>
        <w:t>oca</w:t>
      </w:r>
      <w:r w:rsidR="00703309">
        <w:rPr>
          <w:rFonts w:cs="Segoe UI"/>
        </w:rPr>
        <w:t>lities</w:t>
      </w:r>
      <w:r w:rsidR="008650E2" w:rsidRPr="005044E5">
        <w:rPr>
          <w:rFonts w:cs="Segoe UI"/>
        </w:rPr>
        <w:t xml:space="preserve"> with a population ranging from 501 to 2,000. </w:t>
      </w:r>
    </w:p>
    <w:p w14:paraId="608E51FC" w14:textId="01498FFE" w:rsidR="00BD5011" w:rsidRPr="005044E5" w:rsidRDefault="008650E2" w:rsidP="007E5276">
      <w:pPr>
        <w:jc w:val="both"/>
        <w:rPr>
          <w:rFonts w:cs="Segoe UI"/>
        </w:rPr>
      </w:pPr>
      <w:r w:rsidRPr="005044E5">
        <w:rPr>
          <w:rFonts w:cs="Segoe UI"/>
        </w:rPr>
        <w:t>Our analysis finds that around 33% of households in Niger are off-grid but live within 5 kilometers of the grid, and should therefore be well suited for relatively inexpensive grid extension initiatives, despite these challenges. In contrast, around 17% of households are situated beyond 20 kilometers from the grid, and are unlikely to be reached by the grid for many years, and as a result represent an opportunity for off-grid solutions,</w:t>
      </w:r>
      <w:r w:rsidR="00F907FB" w:rsidRPr="005044E5">
        <w:rPr>
          <w:rFonts w:cs="Segoe UI"/>
        </w:rPr>
        <w:t xml:space="preserve"> including solar. </w:t>
      </w:r>
    </w:p>
    <w:p w14:paraId="0B1F0850" w14:textId="77777777" w:rsidR="008118D4" w:rsidRPr="005044E5" w:rsidRDefault="004B4C46" w:rsidP="007E5276">
      <w:pPr>
        <w:jc w:val="both"/>
        <w:rPr>
          <w:rFonts w:cs="Segoe UI"/>
        </w:rPr>
      </w:pPr>
      <w:r w:rsidRPr="005044E5">
        <w:rPr>
          <w:rFonts w:cs="Segoe UI"/>
        </w:rPr>
        <w:t>This report</w:t>
      </w:r>
      <w:r w:rsidR="009F1033" w:rsidRPr="005044E5">
        <w:rPr>
          <w:rFonts w:cs="Segoe UI"/>
        </w:rPr>
        <w:t xml:space="preserve"> assess</w:t>
      </w:r>
      <w:r w:rsidR="008650E2" w:rsidRPr="005044E5">
        <w:rPr>
          <w:rFonts w:cs="Segoe UI"/>
        </w:rPr>
        <w:t>es</w:t>
      </w:r>
      <w:r w:rsidR="00035AF2" w:rsidRPr="005044E5">
        <w:rPr>
          <w:rFonts w:cs="Segoe UI"/>
        </w:rPr>
        <w:t xml:space="preserve"> the </w:t>
      </w:r>
      <w:r w:rsidR="000C4803" w:rsidRPr="005044E5">
        <w:rPr>
          <w:rFonts w:cs="Segoe UI"/>
        </w:rPr>
        <w:t>market opportunity for</w:t>
      </w:r>
      <w:r w:rsidR="008650E2" w:rsidRPr="005044E5">
        <w:rPr>
          <w:rFonts w:cs="Segoe UI"/>
        </w:rPr>
        <w:t xml:space="preserve"> off-grid</w:t>
      </w:r>
      <w:r w:rsidR="000C4803" w:rsidRPr="005044E5">
        <w:rPr>
          <w:rFonts w:cs="Segoe UI"/>
        </w:rPr>
        <w:t xml:space="preserve"> solar for</w:t>
      </w:r>
      <w:r w:rsidR="009601FB" w:rsidRPr="005044E5">
        <w:rPr>
          <w:rFonts w:cs="Segoe UI"/>
        </w:rPr>
        <w:t xml:space="preserve"> select</w:t>
      </w:r>
      <w:r w:rsidRPr="005044E5">
        <w:rPr>
          <w:rFonts w:cs="Segoe UI"/>
        </w:rPr>
        <w:t>ed</w:t>
      </w:r>
      <w:r w:rsidR="009601FB" w:rsidRPr="005044E5">
        <w:rPr>
          <w:rFonts w:cs="Segoe UI"/>
        </w:rPr>
        <w:t xml:space="preserve"> customer segments, </w:t>
      </w:r>
      <w:r w:rsidRPr="005044E5">
        <w:rPr>
          <w:rFonts w:cs="Segoe UI"/>
        </w:rPr>
        <w:t>including</w:t>
      </w:r>
      <w:r w:rsidR="009601FB" w:rsidRPr="005044E5">
        <w:rPr>
          <w:rFonts w:cs="Segoe UI"/>
        </w:rPr>
        <w:t xml:space="preserve"> private households, public institutions, large</w:t>
      </w:r>
      <w:r w:rsidR="009F1033" w:rsidRPr="005044E5">
        <w:rPr>
          <w:rFonts w:cs="Segoe UI"/>
        </w:rPr>
        <w:t>-</w:t>
      </w:r>
      <w:r w:rsidR="009601FB" w:rsidRPr="005044E5">
        <w:rPr>
          <w:rFonts w:cs="Segoe UI"/>
        </w:rPr>
        <w:t xml:space="preserve"> </w:t>
      </w:r>
      <w:r w:rsidR="009F1033" w:rsidRPr="005044E5">
        <w:rPr>
          <w:rFonts w:cs="Segoe UI"/>
        </w:rPr>
        <w:t>and small-</w:t>
      </w:r>
      <w:r w:rsidR="009601FB" w:rsidRPr="005044E5">
        <w:rPr>
          <w:rFonts w:cs="Segoe UI"/>
        </w:rPr>
        <w:t>scale irrigation schemes</w:t>
      </w:r>
      <w:r w:rsidR="009F1033" w:rsidRPr="005044E5">
        <w:rPr>
          <w:rFonts w:cs="Segoe UI"/>
        </w:rPr>
        <w:t xml:space="preserve">, </w:t>
      </w:r>
      <w:r w:rsidR="009601FB" w:rsidRPr="005044E5">
        <w:rPr>
          <w:rFonts w:cs="Segoe UI"/>
        </w:rPr>
        <w:t xml:space="preserve">crop processing, water provision and public street lights. </w:t>
      </w:r>
      <w:r w:rsidRPr="005044E5">
        <w:rPr>
          <w:rFonts w:cs="Segoe UI"/>
        </w:rPr>
        <w:t xml:space="preserve">Our </w:t>
      </w:r>
      <w:r w:rsidR="00F95D54" w:rsidRPr="005044E5">
        <w:rPr>
          <w:rFonts w:cs="Segoe UI"/>
        </w:rPr>
        <w:t xml:space="preserve">analysis of each segment </w:t>
      </w:r>
      <w:r w:rsidR="000C4803" w:rsidRPr="005044E5">
        <w:rPr>
          <w:rFonts w:cs="Segoe UI"/>
        </w:rPr>
        <w:t xml:space="preserve">shows that </w:t>
      </w:r>
      <w:r w:rsidR="009601FB" w:rsidRPr="005044E5">
        <w:rPr>
          <w:rFonts w:cs="Segoe UI"/>
        </w:rPr>
        <w:t xml:space="preserve">there is a significant </w:t>
      </w:r>
      <w:r w:rsidR="009F1033" w:rsidRPr="005044E5">
        <w:rPr>
          <w:rFonts w:cs="Segoe UI"/>
        </w:rPr>
        <w:t xml:space="preserve">market opportunity </w:t>
      </w:r>
      <w:r w:rsidR="009601FB" w:rsidRPr="005044E5">
        <w:rPr>
          <w:rFonts w:cs="Segoe UI"/>
        </w:rPr>
        <w:t xml:space="preserve">for solar products, estimated at around US $ 200 million per year. The largest market segment </w:t>
      </w:r>
      <w:r w:rsidRPr="005044E5">
        <w:rPr>
          <w:rFonts w:cs="Segoe UI"/>
        </w:rPr>
        <w:t>is</w:t>
      </w:r>
      <w:r w:rsidR="009601FB" w:rsidRPr="005044E5">
        <w:rPr>
          <w:rFonts w:cs="Segoe UI"/>
        </w:rPr>
        <w:t xml:space="preserve"> water providers, who could use solar technology for water pumping, both </w:t>
      </w:r>
      <w:r w:rsidR="00A14DB9" w:rsidRPr="005044E5">
        <w:rPr>
          <w:rFonts w:cs="Segoe UI"/>
        </w:rPr>
        <w:t xml:space="preserve">to </w:t>
      </w:r>
      <w:r w:rsidR="009601FB" w:rsidRPr="005044E5">
        <w:rPr>
          <w:rFonts w:cs="Segoe UI"/>
        </w:rPr>
        <w:t xml:space="preserve">lift water out of boreholes, and </w:t>
      </w:r>
      <w:r w:rsidR="00A14DB9" w:rsidRPr="005044E5">
        <w:rPr>
          <w:rFonts w:cs="Segoe UI"/>
        </w:rPr>
        <w:t xml:space="preserve">to </w:t>
      </w:r>
      <w:r w:rsidR="009601FB" w:rsidRPr="005044E5">
        <w:rPr>
          <w:rFonts w:cs="Segoe UI"/>
        </w:rPr>
        <w:t>distribut</w:t>
      </w:r>
      <w:r w:rsidR="00A14DB9" w:rsidRPr="005044E5">
        <w:rPr>
          <w:rFonts w:cs="Segoe UI"/>
        </w:rPr>
        <w:t>e</w:t>
      </w:r>
      <w:r w:rsidR="009601FB" w:rsidRPr="005044E5">
        <w:rPr>
          <w:rFonts w:cs="Segoe UI"/>
        </w:rPr>
        <w:t xml:space="preserve"> it to delivery points</w:t>
      </w:r>
      <w:r w:rsidR="009F1033" w:rsidRPr="005044E5">
        <w:rPr>
          <w:rFonts w:cs="Segoe UI"/>
        </w:rPr>
        <w:t xml:space="preserve">. </w:t>
      </w:r>
      <w:r w:rsidR="009601FB" w:rsidRPr="005044E5">
        <w:rPr>
          <w:rFonts w:cs="Segoe UI"/>
        </w:rPr>
        <w:t>The second largest segment</w:t>
      </w:r>
      <w:r w:rsidR="00F95D54" w:rsidRPr="005044E5">
        <w:rPr>
          <w:rFonts w:cs="Segoe UI"/>
        </w:rPr>
        <w:t xml:space="preserve"> </w:t>
      </w:r>
      <w:r w:rsidR="009601FB" w:rsidRPr="005044E5">
        <w:rPr>
          <w:rFonts w:cs="Segoe UI"/>
        </w:rPr>
        <w:t>is private households</w:t>
      </w:r>
      <w:r w:rsidR="00A14DB9" w:rsidRPr="005044E5">
        <w:rPr>
          <w:rFonts w:cs="Segoe UI"/>
        </w:rPr>
        <w:t>. Currently, t</w:t>
      </w:r>
      <w:r w:rsidR="00D50A49" w:rsidRPr="005044E5">
        <w:rPr>
          <w:rFonts w:cs="Segoe UI"/>
        </w:rPr>
        <w:t xml:space="preserve">he preferred lighting option of </w:t>
      </w:r>
      <w:r w:rsidR="00D47ADB" w:rsidRPr="005044E5">
        <w:rPr>
          <w:rFonts w:cs="Segoe UI"/>
        </w:rPr>
        <w:t xml:space="preserve">off-grid </w:t>
      </w:r>
      <w:r w:rsidR="00D50A49" w:rsidRPr="005044E5">
        <w:rPr>
          <w:rFonts w:cs="Segoe UI"/>
        </w:rPr>
        <w:t>households in Niger are LED flashlights, and</w:t>
      </w:r>
      <w:r w:rsidRPr="005044E5">
        <w:rPr>
          <w:rFonts w:cs="Segoe UI"/>
        </w:rPr>
        <w:t xml:space="preserve"> our</w:t>
      </w:r>
      <w:r w:rsidR="00D50A49" w:rsidRPr="005044E5">
        <w:rPr>
          <w:rFonts w:cs="Segoe UI"/>
        </w:rPr>
        <w:t xml:space="preserve"> analysis shows that households can achieve significant cost savings from switching from LED flashlights</w:t>
      </w:r>
      <w:r w:rsidR="00A14DB9" w:rsidRPr="005044E5">
        <w:rPr>
          <w:rFonts w:cs="Segoe UI"/>
        </w:rPr>
        <w:t xml:space="preserve"> or generators </w:t>
      </w:r>
      <w:r w:rsidR="00D50A49" w:rsidRPr="005044E5">
        <w:rPr>
          <w:rFonts w:cs="Segoe UI"/>
        </w:rPr>
        <w:t>to solar</w:t>
      </w:r>
      <w:r w:rsidRPr="005044E5">
        <w:rPr>
          <w:rFonts w:cs="Segoe UI"/>
        </w:rPr>
        <w:t xml:space="preserve"> technology</w:t>
      </w:r>
      <w:r w:rsidR="00D50A49" w:rsidRPr="005044E5">
        <w:rPr>
          <w:rFonts w:cs="Segoe UI"/>
        </w:rPr>
        <w:t xml:space="preserve">. </w:t>
      </w:r>
    </w:p>
    <w:p w14:paraId="3E67A477" w14:textId="461127F4" w:rsidR="000C4803" w:rsidRPr="005044E5" w:rsidRDefault="008118D4" w:rsidP="007E5276">
      <w:pPr>
        <w:jc w:val="both"/>
        <w:rPr>
          <w:rFonts w:cs="Segoe UI"/>
        </w:rPr>
      </w:pPr>
      <w:r w:rsidRPr="005044E5">
        <w:rPr>
          <w:rFonts w:cs="Segoe UI"/>
        </w:rPr>
        <w:t>This represents an interesting market opportunity for solar home systems and solar lanterns</w:t>
      </w:r>
      <w:r w:rsidR="00107AEC">
        <w:rPr>
          <w:rFonts w:cs="Segoe UI"/>
        </w:rPr>
        <w:t xml:space="preserve"> meeting Lighting Global Quality Standards (formerly known as Lighting Africa Quality Standards)</w:t>
      </w:r>
      <w:r w:rsidRPr="005044E5">
        <w:rPr>
          <w:rFonts w:cs="Segoe UI"/>
        </w:rPr>
        <w:t xml:space="preserve">, but unlocking this market </w:t>
      </w:r>
      <w:r w:rsidR="00D77116" w:rsidRPr="005044E5">
        <w:rPr>
          <w:rFonts w:cs="Segoe UI"/>
        </w:rPr>
        <w:t>in one of the world’s poorest countries</w:t>
      </w:r>
      <w:r w:rsidR="004B4C46" w:rsidRPr="005044E5">
        <w:rPr>
          <w:rFonts w:cs="Segoe UI"/>
        </w:rPr>
        <w:t xml:space="preserve">, </w:t>
      </w:r>
      <w:r w:rsidR="00F95D54" w:rsidRPr="005044E5">
        <w:rPr>
          <w:rFonts w:cs="Segoe UI"/>
        </w:rPr>
        <w:t>will require</w:t>
      </w:r>
      <w:r w:rsidR="00D77116" w:rsidRPr="005044E5">
        <w:rPr>
          <w:rFonts w:cs="Segoe UI"/>
        </w:rPr>
        <w:t xml:space="preserve"> significant</w:t>
      </w:r>
      <w:r w:rsidR="004B4C46" w:rsidRPr="005044E5">
        <w:rPr>
          <w:rFonts w:cs="Segoe UI"/>
        </w:rPr>
        <w:t xml:space="preserve"> increase</w:t>
      </w:r>
      <w:r w:rsidR="00D77116" w:rsidRPr="005044E5">
        <w:rPr>
          <w:rFonts w:cs="Segoe UI"/>
        </w:rPr>
        <w:t>s in</w:t>
      </w:r>
      <w:r w:rsidR="00F95D54" w:rsidRPr="005044E5">
        <w:rPr>
          <w:rFonts w:cs="Segoe UI"/>
        </w:rPr>
        <w:t xml:space="preserve"> access to consumer financing</w:t>
      </w:r>
      <w:r w:rsidR="00755D68" w:rsidRPr="005044E5">
        <w:rPr>
          <w:rFonts w:cs="Segoe UI"/>
        </w:rPr>
        <w:t>.</w:t>
      </w:r>
      <w:r w:rsidR="00F95D54" w:rsidRPr="005044E5">
        <w:rPr>
          <w:rFonts w:cs="Segoe UI"/>
        </w:rPr>
        <w:t xml:space="preserve"> Consumer finance allows the poorest households to enter the market, and those already in the market to afford larger, more versatile systems. </w:t>
      </w:r>
      <w:r w:rsidR="00D77116" w:rsidRPr="005044E5">
        <w:rPr>
          <w:rFonts w:cs="Segoe UI"/>
        </w:rPr>
        <w:t>After water providers and households, t</w:t>
      </w:r>
      <w:r w:rsidR="00F95D54" w:rsidRPr="005044E5">
        <w:rPr>
          <w:rFonts w:cs="Segoe UI"/>
        </w:rPr>
        <w:t>he third largest market segment is small scale irrigation.</w:t>
      </w:r>
      <w:r w:rsidR="00D77116" w:rsidRPr="005044E5">
        <w:rPr>
          <w:rFonts w:cs="Segoe UI"/>
        </w:rPr>
        <w:t xml:space="preserve"> I</w:t>
      </w:r>
      <w:r w:rsidR="003A0997" w:rsidRPr="005044E5">
        <w:rPr>
          <w:rFonts w:cs="Segoe UI"/>
        </w:rPr>
        <w:t>rrigation is</w:t>
      </w:r>
      <w:r w:rsidR="00D77116" w:rsidRPr="005044E5">
        <w:rPr>
          <w:rFonts w:cs="Segoe UI"/>
        </w:rPr>
        <w:t xml:space="preserve"> currently</w:t>
      </w:r>
      <w:r w:rsidR="003A0997" w:rsidRPr="005044E5">
        <w:rPr>
          <w:rFonts w:cs="Segoe UI"/>
        </w:rPr>
        <w:t xml:space="preserve"> performed </w:t>
      </w:r>
      <w:r w:rsidR="00D77116" w:rsidRPr="005044E5">
        <w:rPr>
          <w:rFonts w:cs="Segoe UI"/>
        </w:rPr>
        <w:t xml:space="preserve">mostly </w:t>
      </w:r>
      <w:r w:rsidR="003A0997" w:rsidRPr="005044E5">
        <w:rPr>
          <w:rFonts w:cs="Segoe UI"/>
        </w:rPr>
        <w:t xml:space="preserve">manually, or by operating </w:t>
      </w:r>
      <w:r w:rsidR="003A0997" w:rsidRPr="005044E5">
        <w:rPr>
          <w:rFonts w:cs="Segoe UI"/>
        </w:rPr>
        <w:lastRenderedPageBreak/>
        <w:t>c</w:t>
      </w:r>
      <w:r w:rsidR="00F95D54" w:rsidRPr="005044E5">
        <w:rPr>
          <w:rFonts w:cs="Segoe UI"/>
        </w:rPr>
        <w:t>ostly diesel-powered generators</w:t>
      </w:r>
      <w:r w:rsidR="00D77116" w:rsidRPr="005044E5">
        <w:rPr>
          <w:rFonts w:cs="Segoe UI"/>
        </w:rPr>
        <w:t xml:space="preserve">, </w:t>
      </w:r>
      <w:r w:rsidR="00B05973">
        <w:rPr>
          <w:rFonts w:cs="Segoe UI"/>
        </w:rPr>
        <w:t>leaving</w:t>
      </w:r>
      <w:r w:rsidR="00B05973" w:rsidRPr="005044E5">
        <w:rPr>
          <w:rFonts w:cs="Segoe UI"/>
        </w:rPr>
        <w:t xml:space="preserve"> </w:t>
      </w:r>
      <w:r w:rsidR="00D77116" w:rsidRPr="005044E5">
        <w:rPr>
          <w:rFonts w:cs="Segoe UI"/>
        </w:rPr>
        <w:t>an</w:t>
      </w:r>
      <w:r w:rsidR="00F95D54" w:rsidRPr="005044E5">
        <w:rPr>
          <w:rFonts w:cs="Segoe UI"/>
        </w:rPr>
        <w:t xml:space="preserve"> </w:t>
      </w:r>
      <w:r w:rsidR="00E200C3" w:rsidRPr="005044E5">
        <w:rPr>
          <w:rFonts w:cs="Segoe UI"/>
        </w:rPr>
        <w:t>opportunity to serve farmers w</w:t>
      </w:r>
      <w:r w:rsidR="00F95D54" w:rsidRPr="005044E5">
        <w:rPr>
          <w:rFonts w:cs="Segoe UI"/>
        </w:rPr>
        <w:t xml:space="preserve">ith </w:t>
      </w:r>
      <w:r w:rsidR="00A14DB9" w:rsidRPr="005044E5">
        <w:rPr>
          <w:rFonts w:cs="Segoe UI"/>
        </w:rPr>
        <w:t xml:space="preserve">small </w:t>
      </w:r>
      <w:r w:rsidR="00755D68" w:rsidRPr="005044E5">
        <w:rPr>
          <w:rFonts w:cs="Segoe UI"/>
        </w:rPr>
        <w:t>solar water pumping kits</w:t>
      </w:r>
      <w:r w:rsidR="00E200C3" w:rsidRPr="005044E5">
        <w:rPr>
          <w:rFonts w:cs="Segoe UI"/>
        </w:rPr>
        <w:t xml:space="preserve"> to make the irrigation process more effective and efficient</w:t>
      </w:r>
      <w:r w:rsidR="00755D68" w:rsidRPr="005044E5">
        <w:rPr>
          <w:rFonts w:cs="Segoe UI"/>
        </w:rPr>
        <w:t xml:space="preserve">. </w:t>
      </w:r>
    </w:p>
    <w:p w14:paraId="61572BE1" w14:textId="2EBB3D08" w:rsidR="00AF2B2A" w:rsidRPr="005044E5" w:rsidRDefault="00AF2B2A" w:rsidP="00AF2B2A">
      <w:pPr>
        <w:jc w:val="both"/>
        <w:rPr>
          <w:rFonts w:cs="Segoe UI"/>
        </w:rPr>
      </w:pPr>
      <w:r w:rsidRPr="005044E5">
        <w:rPr>
          <w:rFonts w:cs="Segoe UI"/>
        </w:rPr>
        <w:t>After</w:t>
      </w:r>
      <w:r w:rsidR="00B05973">
        <w:rPr>
          <w:rFonts w:cs="Segoe UI"/>
        </w:rPr>
        <w:t xml:space="preserve"> this paper</w:t>
      </w:r>
      <w:r w:rsidRPr="005044E5">
        <w:rPr>
          <w:rFonts w:cs="Segoe UI"/>
        </w:rPr>
        <w:t xml:space="preserve"> establish</w:t>
      </w:r>
      <w:r w:rsidR="00B05973">
        <w:rPr>
          <w:rFonts w:cs="Segoe UI"/>
        </w:rPr>
        <w:t>es</w:t>
      </w:r>
      <w:r w:rsidRPr="005044E5">
        <w:rPr>
          <w:rFonts w:cs="Segoe UI"/>
        </w:rPr>
        <w:t xml:space="preserve"> the existence of a significant market opportunity for solar products, the supply side and ecosystem is assessed to understand any potential barriers holding back the solar market in Niger. In depth market research and consultations with many stakeholders has revealed that the solar supply side in Niger is </w:t>
      </w:r>
      <w:r w:rsidR="00B05973">
        <w:rPr>
          <w:rFonts w:cs="Segoe UI"/>
        </w:rPr>
        <w:t>in</w:t>
      </w:r>
      <w:r w:rsidR="00B05973" w:rsidRPr="005044E5">
        <w:rPr>
          <w:rFonts w:cs="Segoe UI"/>
        </w:rPr>
        <w:t xml:space="preserve"> </w:t>
      </w:r>
      <w:r w:rsidRPr="005044E5">
        <w:rPr>
          <w:rFonts w:cs="Segoe UI"/>
        </w:rPr>
        <w:t>a very early stage</w:t>
      </w:r>
      <w:r w:rsidR="00B05973">
        <w:rPr>
          <w:rFonts w:cs="Segoe UI"/>
        </w:rPr>
        <w:t xml:space="preserve"> of development</w:t>
      </w:r>
      <w:r w:rsidRPr="005044E5">
        <w:rPr>
          <w:rFonts w:cs="Segoe UI"/>
        </w:rPr>
        <w:t xml:space="preserve">. </w:t>
      </w:r>
      <w:r w:rsidR="0038009F" w:rsidRPr="005044E5">
        <w:rPr>
          <w:rFonts w:cs="Segoe UI"/>
        </w:rPr>
        <w:t xml:space="preserve">The majority of Nigerien solar businesses only offer contract work for large institutional clients, </w:t>
      </w:r>
      <w:r w:rsidRPr="005044E5">
        <w:rPr>
          <w:rFonts w:cs="Segoe UI"/>
        </w:rPr>
        <w:t>including community electrification projects, solar street lights, and solar water pumping facilities. Total’s Awango program is currently the only active supplier of solar lanterns</w:t>
      </w:r>
      <w:r w:rsidR="00B05973">
        <w:rPr>
          <w:rFonts w:cs="Segoe UI"/>
        </w:rPr>
        <w:t xml:space="preserve"> meeting Lighting Global Quality Standards</w:t>
      </w:r>
      <w:r w:rsidRPr="005044E5">
        <w:rPr>
          <w:rFonts w:cs="Segoe UI"/>
        </w:rPr>
        <w:t xml:space="preserve"> in the market, and a previous attempt by one business to distribute solar lanterns and solar home systems directly to private households was short lived due to a range of operational and financial challenges. In the absence of a formal market, distribution of small solar devices is dominated by the informal sector. Products sold in the informal sector are often of low quality and limited durability, which has had significant negative impacts on the market</w:t>
      </w:r>
      <w:r w:rsidR="00B05973">
        <w:rPr>
          <w:rFonts w:cs="Segoe UI"/>
        </w:rPr>
        <w:t>’s</w:t>
      </w:r>
      <w:r w:rsidRPr="005044E5">
        <w:rPr>
          <w:rFonts w:cs="Segoe UI"/>
        </w:rPr>
        <w:t xml:space="preserve"> perception of solar; in addition, as these products typically avoid taxation and duties, informal traders are able to dramatically undercut the prices of sellers of quality-</w:t>
      </w:r>
      <w:r w:rsidR="00B05973">
        <w:rPr>
          <w:rFonts w:cs="Segoe UI"/>
        </w:rPr>
        <w:t>verified</w:t>
      </w:r>
      <w:r w:rsidR="00B05973" w:rsidRPr="005044E5">
        <w:rPr>
          <w:rFonts w:cs="Segoe UI"/>
        </w:rPr>
        <w:t xml:space="preserve"> </w:t>
      </w:r>
      <w:r w:rsidRPr="005044E5">
        <w:rPr>
          <w:rFonts w:cs="Segoe UI"/>
        </w:rPr>
        <w:t>products with similar specifications.</w:t>
      </w:r>
    </w:p>
    <w:p w14:paraId="4F6A8D60" w14:textId="79079A77" w:rsidR="00AF2B2A" w:rsidRPr="005044E5" w:rsidRDefault="009E68EB" w:rsidP="007E5276">
      <w:pPr>
        <w:jc w:val="both"/>
        <w:rPr>
          <w:rFonts w:cs="Segoe UI"/>
        </w:rPr>
      </w:pPr>
      <w:r w:rsidRPr="005044E5">
        <w:rPr>
          <w:rFonts w:cs="Segoe UI"/>
        </w:rPr>
        <w:t>Reflective of its 150th position in the World Bank’s ‘Ease of Doing Business’ ranking</w:t>
      </w:r>
      <w:r w:rsidR="00D41859">
        <w:rPr>
          <w:rFonts w:cs="Segoe UI"/>
        </w:rPr>
        <w:t xml:space="preserve"> in 2016</w:t>
      </w:r>
      <w:r w:rsidRPr="005044E5">
        <w:rPr>
          <w:rFonts w:cs="Segoe UI"/>
        </w:rPr>
        <w:t>, businesses in Niger face a whole range of challenges. Consultations with solar businesses active in Niger identified the following key challenges to scaling the solar market:</w:t>
      </w:r>
    </w:p>
    <w:p w14:paraId="63411430" w14:textId="7F0C3A78" w:rsidR="00D246CB" w:rsidRPr="005044E5" w:rsidRDefault="008D53FC" w:rsidP="001C46F8">
      <w:pPr>
        <w:pStyle w:val="ListParagraph"/>
        <w:numPr>
          <w:ilvl w:val="0"/>
          <w:numId w:val="39"/>
        </w:numPr>
        <w:jc w:val="both"/>
        <w:rPr>
          <w:rFonts w:cs="Segoe UI"/>
        </w:rPr>
      </w:pPr>
      <w:r w:rsidRPr="005044E5">
        <w:rPr>
          <w:rFonts w:cs="Segoe UI"/>
        </w:rPr>
        <w:t>E</w:t>
      </w:r>
      <w:r w:rsidR="00D246CB" w:rsidRPr="005044E5">
        <w:rPr>
          <w:rFonts w:cs="Segoe UI"/>
        </w:rPr>
        <w:t xml:space="preserve">xcessive levels of taxation and import duties; </w:t>
      </w:r>
    </w:p>
    <w:p w14:paraId="4CDCD84A" w14:textId="0E5DA3C5" w:rsidR="00D246CB" w:rsidRPr="005044E5" w:rsidRDefault="00BF1577" w:rsidP="001C46F8">
      <w:pPr>
        <w:pStyle w:val="ListParagraph"/>
        <w:numPr>
          <w:ilvl w:val="0"/>
          <w:numId w:val="39"/>
        </w:numPr>
        <w:jc w:val="both"/>
        <w:rPr>
          <w:rFonts w:cs="Segoe UI"/>
        </w:rPr>
      </w:pPr>
      <w:r w:rsidRPr="005044E5">
        <w:rPr>
          <w:rFonts w:cs="Segoe UI"/>
        </w:rPr>
        <w:t>L</w:t>
      </w:r>
      <w:r w:rsidR="00D246CB" w:rsidRPr="005044E5">
        <w:rPr>
          <w:rFonts w:cs="Segoe UI"/>
        </w:rPr>
        <w:t xml:space="preserve">imited access to corporate finance; </w:t>
      </w:r>
    </w:p>
    <w:p w14:paraId="400BFE9D" w14:textId="134C32D7" w:rsidR="00D246CB" w:rsidRPr="005044E5" w:rsidRDefault="00BF1577" w:rsidP="001C46F8">
      <w:pPr>
        <w:pStyle w:val="ListParagraph"/>
        <w:numPr>
          <w:ilvl w:val="0"/>
          <w:numId w:val="39"/>
        </w:numPr>
        <w:jc w:val="both"/>
        <w:rPr>
          <w:rFonts w:cs="Segoe UI"/>
        </w:rPr>
      </w:pPr>
      <w:r w:rsidRPr="005044E5">
        <w:rPr>
          <w:rFonts w:cs="Segoe UI"/>
        </w:rPr>
        <w:t>L</w:t>
      </w:r>
      <w:r w:rsidR="00D246CB" w:rsidRPr="005044E5">
        <w:rPr>
          <w:rFonts w:cs="Segoe UI"/>
        </w:rPr>
        <w:t>ow consumer purchasing power and lack of consumer finance;</w:t>
      </w:r>
    </w:p>
    <w:p w14:paraId="7DFA4778" w14:textId="7C1A806A" w:rsidR="00D246CB" w:rsidRPr="005044E5" w:rsidRDefault="00BF1577" w:rsidP="001C46F8">
      <w:pPr>
        <w:pStyle w:val="ListParagraph"/>
        <w:numPr>
          <w:ilvl w:val="0"/>
          <w:numId w:val="39"/>
        </w:numPr>
        <w:jc w:val="both"/>
        <w:rPr>
          <w:rFonts w:cs="Segoe UI"/>
        </w:rPr>
      </w:pPr>
      <w:r w:rsidRPr="005044E5">
        <w:rPr>
          <w:rFonts w:cs="Segoe UI"/>
        </w:rPr>
        <w:t>L</w:t>
      </w:r>
      <w:r w:rsidR="00D246CB" w:rsidRPr="005044E5">
        <w:rPr>
          <w:rFonts w:cs="Segoe UI"/>
        </w:rPr>
        <w:t xml:space="preserve">ack of established partners for distribution and maintenance; </w:t>
      </w:r>
    </w:p>
    <w:p w14:paraId="7976F70F" w14:textId="5AB98A78" w:rsidR="00D246CB" w:rsidRPr="005044E5" w:rsidRDefault="00BF1577" w:rsidP="001C46F8">
      <w:pPr>
        <w:pStyle w:val="ListParagraph"/>
        <w:numPr>
          <w:ilvl w:val="0"/>
          <w:numId w:val="39"/>
        </w:numPr>
        <w:jc w:val="both"/>
        <w:rPr>
          <w:rFonts w:cs="Segoe UI"/>
        </w:rPr>
      </w:pPr>
      <w:r w:rsidRPr="005044E5">
        <w:rPr>
          <w:rFonts w:cs="Segoe UI"/>
        </w:rPr>
        <w:t>C</w:t>
      </w:r>
      <w:r w:rsidR="00D246CB" w:rsidRPr="005044E5">
        <w:rPr>
          <w:rFonts w:cs="Segoe UI"/>
        </w:rPr>
        <w:t xml:space="preserve">ompetition from informal players and market spoilage; </w:t>
      </w:r>
      <w:r w:rsidR="00990E73" w:rsidRPr="005044E5">
        <w:rPr>
          <w:rFonts w:cs="Segoe UI"/>
        </w:rPr>
        <w:t>and</w:t>
      </w:r>
    </w:p>
    <w:p w14:paraId="02D083C1" w14:textId="2ABBC990" w:rsidR="00D246CB" w:rsidRPr="005044E5" w:rsidRDefault="00BF1577" w:rsidP="001C46F8">
      <w:pPr>
        <w:pStyle w:val="ListParagraph"/>
        <w:numPr>
          <w:ilvl w:val="0"/>
          <w:numId w:val="39"/>
        </w:numPr>
        <w:jc w:val="both"/>
        <w:rPr>
          <w:rFonts w:cs="Segoe UI"/>
        </w:rPr>
      </w:pPr>
      <w:r w:rsidRPr="005044E5">
        <w:rPr>
          <w:rFonts w:cs="Segoe UI"/>
        </w:rPr>
        <w:t>L</w:t>
      </w:r>
      <w:r w:rsidR="00D246CB" w:rsidRPr="005044E5">
        <w:rPr>
          <w:rFonts w:cs="Segoe UI"/>
        </w:rPr>
        <w:t>ow mobile money penetration limiting the potential of MNO-Solar business partnerships for payments and distribution.</w:t>
      </w:r>
      <w:r w:rsidR="00FD5D7B" w:rsidRPr="005044E5">
        <w:rPr>
          <w:rFonts w:cs="Segoe UI"/>
        </w:rPr>
        <w:t xml:space="preserve"> </w:t>
      </w:r>
    </w:p>
    <w:p w14:paraId="171D0AC9" w14:textId="4DC811AB" w:rsidR="007F3A05" w:rsidRPr="005044E5" w:rsidRDefault="00CB2B48" w:rsidP="007E5276">
      <w:pPr>
        <w:jc w:val="both"/>
        <w:rPr>
          <w:rFonts w:cs="Segoe UI"/>
        </w:rPr>
      </w:pPr>
      <w:r w:rsidRPr="005044E5">
        <w:rPr>
          <w:rFonts w:cs="Segoe UI"/>
        </w:rPr>
        <w:t xml:space="preserve">These many challenges lead </w:t>
      </w:r>
      <w:r w:rsidR="00932CF8" w:rsidRPr="005044E5">
        <w:rPr>
          <w:rFonts w:cs="Segoe UI"/>
        </w:rPr>
        <w:t xml:space="preserve">international solar players to prioritize </w:t>
      </w:r>
      <w:r w:rsidR="00D246CB" w:rsidRPr="005044E5">
        <w:rPr>
          <w:rFonts w:cs="Segoe UI"/>
        </w:rPr>
        <w:t>more attractive opportunities elsewhere</w:t>
      </w:r>
      <w:r w:rsidR="007F3A05" w:rsidRPr="005044E5">
        <w:rPr>
          <w:rFonts w:cs="Segoe UI"/>
        </w:rPr>
        <w:t xml:space="preserve">. Generally, </w:t>
      </w:r>
      <w:r w:rsidR="00D246CB" w:rsidRPr="005044E5">
        <w:rPr>
          <w:rFonts w:cs="Segoe UI"/>
        </w:rPr>
        <w:t>established operators</w:t>
      </w:r>
      <w:r w:rsidR="00814DDC" w:rsidRPr="005044E5">
        <w:rPr>
          <w:rFonts w:cs="Segoe UI"/>
        </w:rPr>
        <w:t xml:space="preserve"> </w:t>
      </w:r>
      <w:r w:rsidR="00D246CB" w:rsidRPr="005044E5">
        <w:rPr>
          <w:rFonts w:cs="Segoe UI"/>
        </w:rPr>
        <w:t>prefer</w:t>
      </w:r>
      <w:r w:rsidR="007F3A05" w:rsidRPr="005044E5">
        <w:rPr>
          <w:rFonts w:cs="Segoe UI"/>
        </w:rPr>
        <w:t xml:space="preserve"> </w:t>
      </w:r>
      <w:r w:rsidR="00D246CB" w:rsidRPr="005044E5">
        <w:rPr>
          <w:rFonts w:cs="Segoe UI"/>
        </w:rPr>
        <w:t>markets</w:t>
      </w:r>
      <w:r w:rsidR="007F3A05" w:rsidRPr="005044E5">
        <w:rPr>
          <w:rFonts w:cs="Segoe UI"/>
        </w:rPr>
        <w:t xml:space="preserve"> with</w:t>
      </w:r>
      <w:r w:rsidR="00932CF8" w:rsidRPr="005044E5">
        <w:rPr>
          <w:rFonts w:cs="Segoe UI"/>
        </w:rPr>
        <w:t xml:space="preserve"> larger populations, higher levels of purchasing power, and a more developed private sector for distribution and financing partnerships</w:t>
      </w:r>
      <w:r w:rsidR="00D246CB" w:rsidRPr="005044E5">
        <w:rPr>
          <w:rFonts w:cs="Segoe UI"/>
        </w:rPr>
        <w:t xml:space="preserve">. </w:t>
      </w:r>
      <w:r w:rsidR="00D60A74" w:rsidRPr="005044E5">
        <w:rPr>
          <w:rFonts w:cs="Segoe UI"/>
        </w:rPr>
        <w:t xml:space="preserve">As a result, solar market stimulation efforts in Niger will need to target local rather than international businesses, at least in the near-term. </w:t>
      </w:r>
    </w:p>
    <w:p w14:paraId="0F5AA610" w14:textId="3A54616C" w:rsidR="009E68EB" w:rsidRPr="005044E5" w:rsidRDefault="009E68EB" w:rsidP="007E5276">
      <w:pPr>
        <w:jc w:val="both"/>
        <w:rPr>
          <w:rFonts w:cs="Segoe UI"/>
        </w:rPr>
      </w:pPr>
      <w:r w:rsidRPr="005044E5">
        <w:rPr>
          <w:rFonts w:cs="Segoe UI"/>
        </w:rPr>
        <w:t>Finance, both for businesses and consumers will be key to rapid market acceleration. In 2015, Niger had 11 commercial banks and 42 microfinance institutions, but only 6.7% of the population had bank accounts (both banks and MFIs).</w:t>
      </w:r>
      <w:r w:rsidR="00A4338B" w:rsidRPr="005044E5">
        <w:rPr>
          <w:rStyle w:val="FootnoteReference"/>
          <w:rFonts w:cs="Segoe UI"/>
        </w:rPr>
        <w:footnoteReference w:id="3"/>
      </w:r>
      <w:r w:rsidRPr="005044E5">
        <w:rPr>
          <w:rFonts w:cs="Segoe UI"/>
        </w:rPr>
        <w:t xml:space="preserve"> Consultations unanimously revealed that accessing finance as an SME in Niger is very challenging and subject to prohibitive terms, especially as the solar sector is often seen as too early-stage to finance at its current state. In addition, a broader availability of Sharia-compliant financial services will be required to reach businesses and the population at scale.</w:t>
      </w:r>
    </w:p>
    <w:p w14:paraId="49AEF19F" w14:textId="028D23F6" w:rsidR="00456E09" w:rsidRPr="005044E5" w:rsidRDefault="00456E09" w:rsidP="00456E09">
      <w:pPr>
        <w:jc w:val="both"/>
        <w:rPr>
          <w:rFonts w:cs="Segoe UI"/>
        </w:rPr>
      </w:pPr>
      <w:r w:rsidRPr="005044E5">
        <w:rPr>
          <w:rFonts w:cs="Segoe UI"/>
        </w:rPr>
        <w:lastRenderedPageBreak/>
        <w:t>Rapid improvement to the low electrification rates in Niger only appears possible through an approach leveraging multiple delivery technologies</w:t>
      </w:r>
      <w:r w:rsidR="00B63B9A">
        <w:rPr>
          <w:rFonts w:cs="Segoe UI"/>
        </w:rPr>
        <w:t xml:space="preserve">, including </w:t>
      </w:r>
      <w:r w:rsidR="00266F53" w:rsidRPr="005044E5">
        <w:rPr>
          <w:rFonts w:cs="Segoe UI"/>
        </w:rPr>
        <w:t xml:space="preserve">the grid. </w:t>
      </w:r>
      <w:r w:rsidR="00B63B9A">
        <w:rPr>
          <w:rFonts w:cs="Segoe UI"/>
        </w:rPr>
        <w:t xml:space="preserve">In simple terms, </w:t>
      </w:r>
      <w:r w:rsidRPr="005044E5">
        <w:rPr>
          <w:rFonts w:cs="Segoe UI"/>
        </w:rPr>
        <w:t xml:space="preserve">off-grid solutions can be broken down into two categories: (i) community level solutions, such as mini-grids, and (ii) household level solutions, such as solar home systems and solar lanterns. Mini-grids are, especially in remote rural areas with low population densities, surrounded with concerns about market potential, business viability, and long times to break-even. These sustainability concerns are often accompanied with an underdeveloped, </w:t>
      </w:r>
      <w:r w:rsidR="00B05973">
        <w:rPr>
          <w:rFonts w:cs="Segoe UI"/>
        </w:rPr>
        <w:t>non</w:t>
      </w:r>
      <w:r w:rsidRPr="005044E5">
        <w:rPr>
          <w:rFonts w:cs="Segoe UI"/>
        </w:rPr>
        <w:t>-transparent and unpredictable regulatory environment, which restrains private sector investment in mini-grids. Despite the new electricity code in Niger, the regulatory framework - especially for mini-grids</w:t>
      </w:r>
      <w:r w:rsidR="001D3DCF">
        <w:rPr>
          <w:rFonts w:cs="Segoe UI"/>
        </w:rPr>
        <w:t>,</w:t>
      </w:r>
      <w:r w:rsidRPr="005044E5">
        <w:rPr>
          <w:rFonts w:cs="Segoe UI"/>
        </w:rPr>
        <w:t xml:space="preserve"> which are not specifically covered in the code - remains ambiguous. One strategy to encourage private sector investment for mini-grids will be the promotion of public-private partnerships to align interests and de-risk investment for the private sector.</w:t>
      </w:r>
    </w:p>
    <w:p w14:paraId="285CF480" w14:textId="0376DF1E" w:rsidR="00456E09" w:rsidRPr="005044E5" w:rsidRDefault="00456E09" w:rsidP="007E5276">
      <w:pPr>
        <w:jc w:val="both"/>
        <w:rPr>
          <w:rFonts w:cs="Segoe UI"/>
        </w:rPr>
      </w:pPr>
      <w:r w:rsidRPr="005044E5">
        <w:rPr>
          <w:rFonts w:cs="Segoe UI"/>
        </w:rPr>
        <w:t xml:space="preserve">But, similarly to grid extension, the construction of mini-grids will be slow to implement, and will only benefit small population pockets. Therefore, to reach the off-grid population more broadly in the short term, </w:t>
      </w:r>
      <w:r w:rsidR="0032458B" w:rsidRPr="005044E5">
        <w:rPr>
          <w:rFonts w:cs="Segoe UI"/>
        </w:rPr>
        <w:t>w</w:t>
      </w:r>
      <w:r w:rsidRPr="005044E5">
        <w:rPr>
          <w:rFonts w:cs="Segoe UI"/>
        </w:rPr>
        <w:t>e recommend focusing initial interventions on market stimulation for small household systems and solar pumping kits</w:t>
      </w:r>
      <w:r w:rsidR="00EF7928">
        <w:rPr>
          <w:rStyle w:val="FootnoteReference"/>
          <w:rFonts w:cs="Segoe UI"/>
        </w:rPr>
        <w:footnoteReference w:id="4"/>
      </w:r>
      <w:r w:rsidRPr="005044E5">
        <w:rPr>
          <w:rFonts w:cs="Segoe UI"/>
        </w:rPr>
        <w:t>. The general market sensitization and ecosystem development required for this will likely provide collateral benefits to the whole solar market. More specifically, we recommend implementing an integrated market development program covering the following interventions:</w:t>
      </w:r>
    </w:p>
    <w:p w14:paraId="038FEF8F" w14:textId="6BDDA774" w:rsidR="00595830" w:rsidRPr="005044E5" w:rsidRDefault="00595830" w:rsidP="001C46F8">
      <w:pPr>
        <w:pStyle w:val="ListParagraph"/>
        <w:numPr>
          <w:ilvl w:val="0"/>
          <w:numId w:val="40"/>
        </w:numPr>
        <w:jc w:val="both"/>
        <w:rPr>
          <w:rFonts w:cs="Segoe UI"/>
        </w:rPr>
      </w:pPr>
      <w:r w:rsidRPr="005044E5">
        <w:rPr>
          <w:rFonts w:cs="Segoe UI"/>
        </w:rPr>
        <w:t>Tax and duties exemption on solar technology</w:t>
      </w:r>
      <w:r w:rsidR="00173745" w:rsidRPr="005044E5">
        <w:rPr>
          <w:rFonts w:cs="Segoe UI"/>
        </w:rPr>
        <w:t>,</w:t>
      </w:r>
    </w:p>
    <w:p w14:paraId="0D95DC1E" w14:textId="574A0F7D" w:rsidR="00595830" w:rsidRPr="005044E5" w:rsidRDefault="00595830" w:rsidP="001C46F8">
      <w:pPr>
        <w:pStyle w:val="ListParagraph"/>
        <w:numPr>
          <w:ilvl w:val="0"/>
          <w:numId w:val="40"/>
        </w:numPr>
        <w:jc w:val="both"/>
        <w:rPr>
          <w:rFonts w:cs="Segoe UI"/>
        </w:rPr>
      </w:pPr>
      <w:r w:rsidRPr="005044E5">
        <w:rPr>
          <w:rFonts w:cs="Segoe UI"/>
        </w:rPr>
        <w:t>Consumer education programs</w:t>
      </w:r>
      <w:r w:rsidR="00173745" w:rsidRPr="005044E5">
        <w:rPr>
          <w:rFonts w:cs="Segoe UI"/>
        </w:rPr>
        <w:t>,</w:t>
      </w:r>
    </w:p>
    <w:p w14:paraId="1AEBC158" w14:textId="60220130" w:rsidR="00595830" w:rsidRPr="005044E5" w:rsidRDefault="00595830" w:rsidP="001C46F8">
      <w:pPr>
        <w:pStyle w:val="ListParagraph"/>
        <w:numPr>
          <w:ilvl w:val="0"/>
          <w:numId w:val="40"/>
        </w:numPr>
        <w:jc w:val="both"/>
        <w:rPr>
          <w:rFonts w:cs="Segoe UI"/>
        </w:rPr>
      </w:pPr>
      <w:r w:rsidRPr="005044E5">
        <w:rPr>
          <w:rFonts w:cs="Segoe UI"/>
        </w:rPr>
        <w:t>Inventory and consumer loan financing facilities</w:t>
      </w:r>
      <w:r w:rsidR="00173745" w:rsidRPr="005044E5">
        <w:rPr>
          <w:rFonts w:cs="Segoe UI"/>
        </w:rPr>
        <w:t>,</w:t>
      </w:r>
    </w:p>
    <w:p w14:paraId="47082731" w14:textId="239A92C5" w:rsidR="00595830" w:rsidRPr="005044E5" w:rsidRDefault="00595830" w:rsidP="001C46F8">
      <w:pPr>
        <w:pStyle w:val="ListParagraph"/>
        <w:numPr>
          <w:ilvl w:val="0"/>
          <w:numId w:val="40"/>
        </w:numPr>
        <w:jc w:val="both"/>
        <w:rPr>
          <w:rFonts w:cs="Segoe UI"/>
        </w:rPr>
      </w:pPr>
      <w:r w:rsidRPr="005044E5">
        <w:rPr>
          <w:rFonts w:cs="Segoe UI"/>
        </w:rPr>
        <w:t>Credit guarantee schemes for the inventory and consumer loan financing facilities</w:t>
      </w:r>
      <w:r w:rsidR="00173745" w:rsidRPr="005044E5">
        <w:rPr>
          <w:rFonts w:cs="Segoe UI"/>
        </w:rPr>
        <w:t>,</w:t>
      </w:r>
    </w:p>
    <w:p w14:paraId="7A619DC8" w14:textId="1DC16D41" w:rsidR="00595830" w:rsidRPr="005044E5" w:rsidRDefault="00595830" w:rsidP="001C46F8">
      <w:pPr>
        <w:pStyle w:val="ListParagraph"/>
        <w:numPr>
          <w:ilvl w:val="0"/>
          <w:numId w:val="40"/>
        </w:numPr>
        <w:jc w:val="both"/>
        <w:rPr>
          <w:rFonts w:cs="Segoe UI"/>
        </w:rPr>
      </w:pPr>
      <w:r w:rsidRPr="005044E5">
        <w:rPr>
          <w:rFonts w:cs="Segoe UI"/>
        </w:rPr>
        <w:t>Market entry and expansion</w:t>
      </w:r>
      <w:r w:rsidR="00173745" w:rsidRPr="005044E5">
        <w:rPr>
          <w:rFonts w:cs="Segoe UI"/>
        </w:rPr>
        <w:t xml:space="preserve"> grants,</w:t>
      </w:r>
      <w:r w:rsidRPr="005044E5">
        <w:rPr>
          <w:rFonts w:cs="Segoe UI"/>
        </w:rPr>
        <w:t xml:space="preserve"> and</w:t>
      </w:r>
    </w:p>
    <w:p w14:paraId="1E738057" w14:textId="3F337EFF" w:rsidR="00595830" w:rsidRPr="005044E5" w:rsidRDefault="00595830" w:rsidP="001C46F8">
      <w:pPr>
        <w:pStyle w:val="ListParagraph"/>
        <w:numPr>
          <w:ilvl w:val="0"/>
          <w:numId w:val="40"/>
        </w:numPr>
        <w:jc w:val="both"/>
        <w:rPr>
          <w:rFonts w:cs="Segoe UI"/>
        </w:rPr>
      </w:pPr>
      <w:r w:rsidRPr="005044E5">
        <w:rPr>
          <w:rFonts w:cs="Segoe UI"/>
        </w:rPr>
        <w:t xml:space="preserve">Technical assistance </w:t>
      </w:r>
      <w:r w:rsidR="00173745" w:rsidRPr="005044E5">
        <w:rPr>
          <w:rFonts w:cs="Segoe UI"/>
        </w:rPr>
        <w:t xml:space="preserve">for </w:t>
      </w:r>
      <w:r w:rsidRPr="005044E5">
        <w:rPr>
          <w:rFonts w:cs="Segoe UI"/>
        </w:rPr>
        <w:t>the government, financial sector, solar companies, MNOs and solar technicians</w:t>
      </w:r>
      <w:r w:rsidR="00173745" w:rsidRPr="005044E5">
        <w:rPr>
          <w:rFonts w:cs="Segoe UI"/>
        </w:rPr>
        <w:t>.</w:t>
      </w:r>
    </w:p>
    <w:p w14:paraId="5B75E7D4" w14:textId="79A295D3" w:rsidR="008A1B1E" w:rsidRPr="00BD5011" w:rsidRDefault="0077285C" w:rsidP="00266F53">
      <w:pPr>
        <w:jc w:val="both"/>
        <w:rPr>
          <w:rFonts w:cs="Segoe UI"/>
        </w:rPr>
      </w:pPr>
      <w:r w:rsidRPr="005044E5">
        <w:rPr>
          <w:rFonts w:cs="Segoe UI"/>
        </w:rPr>
        <w:t>The</w:t>
      </w:r>
      <w:r w:rsidR="00FE0E83" w:rsidRPr="005044E5">
        <w:rPr>
          <w:rFonts w:cs="Segoe UI"/>
        </w:rPr>
        <w:t xml:space="preserve"> combination of these effort</w:t>
      </w:r>
      <w:r w:rsidR="00990E73" w:rsidRPr="005044E5">
        <w:rPr>
          <w:rFonts w:cs="Segoe UI"/>
        </w:rPr>
        <w:t>s</w:t>
      </w:r>
      <w:r w:rsidR="00FE0E83" w:rsidRPr="005044E5">
        <w:rPr>
          <w:rFonts w:cs="Segoe UI"/>
        </w:rPr>
        <w:t xml:space="preserve"> </w:t>
      </w:r>
      <w:r w:rsidR="002D46F1" w:rsidRPr="005044E5">
        <w:rPr>
          <w:rFonts w:cs="Segoe UI"/>
        </w:rPr>
        <w:t xml:space="preserve">has the potential to </w:t>
      </w:r>
      <w:r w:rsidR="00FE0E83" w:rsidRPr="005044E5">
        <w:rPr>
          <w:rFonts w:cs="Segoe UI"/>
        </w:rPr>
        <w:t>help</w:t>
      </w:r>
      <w:r w:rsidRPr="005044E5">
        <w:rPr>
          <w:rFonts w:cs="Segoe UI"/>
        </w:rPr>
        <w:t xml:space="preserve"> overcome barriers on both</w:t>
      </w:r>
      <w:r w:rsidR="002D46F1" w:rsidRPr="005044E5">
        <w:rPr>
          <w:rFonts w:cs="Segoe UI"/>
        </w:rPr>
        <w:t xml:space="preserve"> the</w:t>
      </w:r>
      <w:r w:rsidRPr="005044E5">
        <w:rPr>
          <w:rFonts w:cs="Segoe UI"/>
        </w:rPr>
        <w:t xml:space="preserve"> </w:t>
      </w:r>
      <w:r w:rsidR="00FE0E83" w:rsidRPr="005044E5">
        <w:rPr>
          <w:rFonts w:cs="Segoe UI"/>
        </w:rPr>
        <w:t xml:space="preserve">supply and demand side, and </w:t>
      </w:r>
      <w:r w:rsidR="002D46F1" w:rsidRPr="005044E5">
        <w:rPr>
          <w:rFonts w:cs="Segoe UI"/>
        </w:rPr>
        <w:t xml:space="preserve">to support </w:t>
      </w:r>
      <w:r w:rsidR="00173745" w:rsidRPr="005044E5">
        <w:rPr>
          <w:rFonts w:cs="Segoe UI"/>
        </w:rPr>
        <w:t xml:space="preserve">the acceleration of market growth </w:t>
      </w:r>
      <w:r w:rsidRPr="005044E5">
        <w:rPr>
          <w:rFonts w:cs="Segoe UI"/>
        </w:rPr>
        <w:t>at this early development stage of the</w:t>
      </w:r>
      <w:r w:rsidR="00173745" w:rsidRPr="005044E5">
        <w:rPr>
          <w:rFonts w:cs="Segoe UI"/>
        </w:rPr>
        <w:t xml:space="preserve"> solar</w:t>
      </w:r>
      <w:r w:rsidRPr="005044E5">
        <w:rPr>
          <w:rFonts w:cs="Segoe UI"/>
        </w:rPr>
        <w:t xml:space="preserve"> market</w:t>
      </w:r>
      <w:r w:rsidR="00173745" w:rsidRPr="005044E5">
        <w:rPr>
          <w:rFonts w:cs="Segoe UI"/>
        </w:rPr>
        <w:t xml:space="preserve"> in Niger</w:t>
      </w:r>
      <w:r w:rsidRPr="005044E5">
        <w:rPr>
          <w:rFonts w:cs="Segoe UI"/>
        </w:rPr>
        <w:t>.</w:t>
      </w:r>
      <w:r w:rsidR="00932CF8">
        <w:rPr>
          <w:rFonts w:cs="Segoe UI"/>
        </w:rPr>
        <w:t xml:space="preserve"> </w:t>
      </w:r>
    </w:p>
    <w:p w14:paraId="3546056A" w14:textId="0DDCA0E9" w:rsidR="00FF36C5" w:rsidRPr="00C75CB5" w:rsidRDefault="00997003" w:rsidP="00C75CB5">
      <w:pPr>
        <w:pStyle w:val="H1NEWreportStyle"/>
      </w:pPr>
      <w:bookmarkStart w:id="3" w:name="_Toc501097024"/>
      <w:r w:rsidRPr="00C75CB5">
        <w:t>Introduction</w:t>
      </w:r>
      <w:r w:rsidR="00FF36C5" w:rsidRPr="00C75CB5">
        <w:t xml:space="preserve"> &amp; methodology</w:t>
      </w:r>
      <w:bookmarkEnd w:id="3"/>
    </w:p>
    <w:p w14:paraId="1DCDE9E0" w14:textId="0E399A0F" w:rsidR="007D34B9" w:rsidRDefault="007D34B9" w:rsidP="007D34B9">
      <w:pPr>
        <w:jc w:val="both"/>
        <w:rPr>
          <w:rFonts w:cs="Segoe UI"/>
        </w:rPr>
      </w:pPr>
      <w:r w:rsidRPr="00DD38A9">
        <w:rPr>
          <w:rFonts w:cs="Segoe UI"/>
        </w:rPr>
        <w:t xml:space="preserve">This </w:t>
      </w:r>
      <w:r>
        <w:rPr>
          <w:rFonts w:cs="Segoe UI"/>
        </w:rPr>
        <w:t>r</w:t>
      </w:r>
      <w:r w:rsidRPr="00DD38A9">
        <w:rPr>
          <w:rFonts w:cs="Segoe UI"/>
        </w:rPr>
        <w:t xml:space="preserve">eport </w:t>
      </w:r>
      <w:r w:rsidR="009F3D8E">
        <w:rPr>
          <w:rFonts w:cs="Segoe UI"/>
        </w:rPr>
        <w:t>aims to describe</w:t>
      </w:r>
      <w:r>
        <w:rPr>
          <w:rFonts w:cs="Segoe UI"/>
        </w:rPr>
        <w:t xml:space="preserve"> the market opportunity for solar products in Niger and to provide recommendations on government and development sector initiatives to stimulate rapid private sector </w:t>
      </w:r>
      <w:r w:rsidRPr="00725AD6">
        <w:rPr>
          <w:rFonts w:cs="Segoe UI"/>
        </w:rPr>
        <w:t xml:space="preserve">growth. </w:t>
      </w:r>
      <w:r w:rsidR="001D6D74">
        <w:rPr>
          <w:rFonts w:cs="Segoe UI"/>
        </w:rPr>
        <w:t>After the executive summary (chapter 1), and this chapter, which describes the aim and methodology of the research (chapter 2), o</w:t>
      </w:r>
      <w:r w:rsidRPr="00725AD6">
        <w:rPr>
          <w:rFonts w:cs="Segoe UI"/>
        </w:rPr>
        <w:t>ur analysis is structured as f</w:t>
      </w:r>
      <w:r w:rsidR="000E6E6A" w:rsidRPr="00725AD6">
        <w:rPr>
          <w:rFonts w:cs="Segoe UI"/>
        </w:rPr>
        <w:t>ollows: we</w:t>
      </w:r>
      <w:r w:rsidRPr="00725AD6">
        <w:rPr>
          <w:rFonts w:cs="Segoe UI"/>
        </w:rPr>
        <w:t xml:space="preserve"> first assess the current state of on-grid electricity access in Niger, discussing power generation, consumption, grid distribution and planned grid extension</w:t>
      </w:r>
      <w:r w:rsidR="0033429E">
        <w:rPr>
          <w:rFonts w:cs="Segoe UI"/>
        </w:rPr>
        <w:t xml:space="preserve">, </w:t>
      </w:r>
      <w:r w:rsidR="0033429E" w:rsidRPr="009B54BE">
        <w:rPr>
          <w:rFonts w:cs="Segoe UI"/>
        </w:rPr>
        <w:t xml:space="preserve">as well as the opportunity for </w:t>
      </w:r>
      <w:r w:rsidR="0028186F" w:rsidRPr="009B54BE">
        <w:rPr>
          <w:rFonts w:cs="Segoe UI"/>
        </w:rPr>
        <w:t>further grid extension and mini-grids</w:t>
      </w:r>
      <w:r w:rsidRPr="00725AD6">
        <w:rPr>
          <w:rFonts w:cs="Segoe UI"/>
        </w:rPr>
        <w:t xml:space="preserve"> (chapter </w:t>
      </w:r>
      <w:r w:rsidR="000E6E6A" w:rsidRPr="00725AD6">
        <w:rPr>
          <w:rFonts w:cs="Segoe UI"/>
        </w:rPr>
        <w:t>3</w:t>
      </w:r>
      <w:r w:rsidRPr="00725AD6">
        <w:rPr>
          <w:rFonts w:cs="Segoe UI"/>
        </w:rPr>
        <w:t xml:space="preserve">). Next, we estimate the potential market for off-grid solar products (chapter </w:t>
      </w:r>
      <w:r w:rsidR="000E6E6A" w:rsidRPr="00725AD6">
        <w:rPr>
          <w:rFonts w:cs="Segoe UI"/>
        </w:rPr>
        <w:t>4</w:t>
      </w:r>
      <w:r w:rsidRPr="00725AD6">
        <w:rPr>
          <w:rFonts w:cs="Segoe UI"/>
        </w:rPr>
        <w:t>); we explore</w:t>
      </w:r>
      <w:r>
        <w:rPr>
          <w:rFonts w:cs="Segoe UI"/>
        </w:rPr>
        <w:t xml:space="preserve"> a range of </w:t>
      </w:r>
      <w:r>
        <w:rPr>
          <w:rFonts w:cs="Segoe UI"/>
        </w:rPr>
        <w:lastRenderedPageBreak/>
        <w:t xml:space="preserve">different market segments that we believe together capture the majority of the solar opportunity, including households, public institutions, and productive users. These segments are summarized in </w:t>
      </w:r>
      <w:r>
        <w:rPr>
          <w:rFonts w:cs="Segoe UI"/>
        </w:rPr>
        <w:fldChar w:fldCharType="begin"/>
      </w:r>
      <w:r>
        <w:rPr>
          <w:rFonts w:cs="Segoe UI"/>
        </w:rPr>
        <w:instrText xml:space="preserve"> REF _Ref466911925 </w:instrText>
      </w:r>
      <w:r>
        <w:rPr>
          <w:rFonts w:cs="Segoe UI"/>
        </w:rPr>
        <w:fldChar w:fldCharType="separate"/>
      </w:r>
      <w:r w:rsidR="000D1C35" w:rsidRPr="0099462C">
        <w:t xml:space="preserve">Figure </w:t>
      </w:r>
      <w:r w:rsidR="000D1C35">
        <w:rPr>
          <w:noProof/>
        </w:rPr>
        <w:t>1</w:t>
      </w:r>
      <w:r>
        <w:rPr>
          <w:rFonts w:cs="Segoe UI"/>
        </w:rPr>
        <w:fldChar w:fldCharType="end"/>
      </w:r>
      <w:r>
        <w:rPr>
          <w:rFonts w:cs="Segoe UI"/>
        </w:rPr>
        <w:t xml:space="preserve"> below. All our demand analysis is conducted at the Commune level, based either on actual data or best-estimate assumptions where concrete data is unavailable.</w:t>
      </w:r>
    </w:p>
    <w:p w14:paraId="7F91E68D" w14:textId="0D132B0D" w:rsidR="007D34B9" w:rsidRPr="0099462C" w:rsidRDefault="007D34B9" w:rsidP="0099462C">
      <w:pPr>
        <w:pStyle w:val="Caption"/>
      </w:pPr>
      <w:bookmarkStart w:id="4" w:name="_Ref466911925"/>
      <w:bookmarkStart w:id="5" w:name="_Toc467667495"/>
      <w:bookmarkStart w:id="6" w:name="_Toc475007369"/>
      <w:bookmarkStart w:id="7" w:name="_Toc476298045"/>
      <w:bookmarkStart w:id="8" w:name="_Toc500969338"/>
      <w:r w:rsidRPr="0099462C">
        <w:rPr>
          <w:noProof/>
        </w:rPr>
        <w:drawing>
          <wp:anchor distT="0" distB="0" distL="114300" distR="114300" simplePos="0" relativeHeight="251722752" behindDoc="0" locked="0" layoutInCell="1" allowOverlap="1" wp14:anchorId="5279DFB8" wp14:editId="712F8F4E">
            <wp:simplePos x="0" y="0"/>
            <wp:positionH relativeFrom="margin">
              <wp:align>left</wp:align>
            </wp:positionH>
            <wp:positionV relativeFrom="paragraph">
              <wp:posOffset>296545</wp:posOffset>
            </wp:positionV>
            <wp:extent cx="5140960" cy="269176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0960" cy="2691765"/>
                    </a:xfrm>
                    <a:prstGeom prst="rect">
                      <a:avLst/>
                    </a:prstGeom>
                    <a:noFill/>
                  </pic:spPr>
                </pic:pic>
              </a:graphicData>
            </a:graphic>
            <wp14:sizeRelH relativeFrom="page">
              <wp14:pctWidth>0</wp14:pctWidth>
            </wp14:sizeRelH>
            <wp14:sizeRelV relativeFrom="page">
              <wp14:pctHeight>0</wp14:pctHeight>
            </wp14:sizeRelV>
          </wp:anchor>
        </w:drawing>
      </w:r>
      <w:r w:rsidRPr="0099462C">
        <w:t xml:space="preserve">Figure </w:t>
      </w:r>
      <w:fldSimple w:instr=" SEQ Figure \* ARABIC ">
        <w:r w:rsidR="000D1C35">
          <w:rPr>
            <w:noProof/>
          </w:rPr>
          <w:t>1</w:t>
        </w:r>
      </w:fldSimple>
      <w:bookmarkEnd w:id="4"/>
      <w:r w:rsidRPr="0099462C">
        <w:t>: Scope of research – market definition</w:t>
      </w:r>
      <w:bookmarkEnd w:id="5"/>
      <w:bookmarkEnd w:id="6"/>
      <w:bookmarkEnd w:id="7"/>
      <w:bookmarkEnd w:id="8"/>
    </w:p>
    <w:p w14:paraId="1B46A78F" w14:textId="77777777" w:rsidR="007D34B9" w:rsidRDefault="007D34B9" w:rsidP="00F8517F">
      <w:pPr>
        <w:spacing w:after="0"/>
        <w:jc w:val="both"/>
        <w:rPr>
          <w:rFonts w:cs="Segoe UI"/>
        </w:rPr>
      </w:pPr>
    </w:p>
    <w:p w14:paraId="0096E801" w14:textId="66574899" w:rsidR="007D34B9" w:rsidRPr="00725AD6" w:rsidRDefault="007D34B9" w:rsidP="007D34B9">
      <w:pPr>
        <w:jc w:val="both"/>
        <w:rPr>
          <w:rFonts w:cs="Segoe UI"/>
        </w:rPr>
      </w:pPr>
      <w:r>
        <w:rPr>
          <w:rFonts w:cs="Segoe UI"/>
        </w:rPr>
        <w:t xml:space="preserve">Our analysis for each individual segment is supported by detailed financial models that calculate the potential cost savings (or lack thereof) for switching to solar technology, and the ensuing overall market </w:t>
      </w:r>
      <w:r w:rsidRPr="009B54BE">
        <w:rPr>
          <w:rFonts w:cs="Segoe UI"/>
        </w:rPr>
        <w:t>opportunity. These models are based on information from a combination of i</w:t>
      </w:r>
      <w:r w:rsidR="0028186F" w:rsidRPr="009B54BE">
        <w:rPr>
          <w:rFonts w:cs="Segoe UI"/>
        </w:rPr>
        <w:t>ntensive secondary research, three</w:t>
      </w:r>
      <w:r w:rsidRPr="009B54BE">
        <w:rPr>
          <w:rFonts w:cs="Segoe UI"/>
        </w:rPr>
        <w:t xml:space="preserve"> site</w:t>
      </w:r>
      <w:r>
        <w:rPr>
          <w:rFonts w:cs="Segoe UI"/>
        </w:rPr>
        <w:t xml:space="preserve"> visits to Niger, as well as ongoing consultations both in </w:t>
      </w:r>
      <w:r w:rsidRPr="00725AD6">
        <w:rPr>
          <w:rFonts w:cs="Segoe UI"/>
        </w:rPr>
        <w:t>Niger and elsewhere.</w:t>
      </w:r>
    </w:p>
    <w:p w14:paraId="384F13AE" w14:textId="3E4CF751" w:rsidR="007D34B9" w:rsidRPr="00725AD6" w:rsidRDefault="007D34B9" w:rsidP="007D34B9">
      <w:pPr>
        <w:jc w:val="both"/>
        <w:rPr>
          <w:rFonts w:cs="Segoe UI"/>
        </w:rPr>
      </w:pPr>
      <w:r w:rsidRPr="00725AD6">
        <w:rPr>
          <w:rFonts w:cs="Segoe UI"/>
        </w:rPr>
        <w:t xml:space="preserve">In chapter </w:t>
      </w:r>
      <w:r w:rsidR="00670655" w:rsidRPr="00725AD6">
        <w:rPr>
          <w:rFonts w:cs="Segoe UI"/>
        </w:rPr>
        <w:t>5</w:t>
      </w:r>
      <w:r w:rsidRPr="00725AD6">
        <w:rPr>
          <w:rFonts w:cs="Segoe UI"/>
        </w:rPr>
        <w:t>, we provide a detailed overview of the supply side and the ecosystem for businesses operating in the Nigerien solar sector. We provide a high-level overview of the current activities of Nigerien</w:t>
      </w:r>
      <w:r>
        <w:rPr>
          <w:rFonts w:cs="Segoe UI"/>
        </w:rPr>
        <w:t xml:space="preserve"> private sector solar businesses and how well these are aligned with achieving rapid, market-led growth. We also explore the broader ecosystem for complementary actors in Niger, providing an assessment based on information collected from secondary research and dozens of </w:t>
      </w:r>
      <w:r w:rsidRPr="00725AD6">
        <w:rPr>
          <w:rFonts w:cs="Segoe UI"/>
        </w:rPr>
        <w:t>stakeholder consultations in Niger. The ecosystem assessment includes:</w:t>
      </w:r>
    </w:p>
    <w:p w14:paraId="4CB2BF38" w14:textId="76391975" w:rsidR="007D34B9" w:rsidRPr="00725AD6" w:rsidRDefault="007D34B9" w:rsidP="007D34B9">
      <w:pPr>
        <w:pStyle w:val="ListParagraph"/>
        <w:numPr>
          <w:ilvl w:val="0"/>
          <w:numId w:val="2"/>
        </w:numPr>
        <w:spacing w:before="120" w:after="120"/>
        <w:contextualSpacing w:val="0"/>
        <w:jc w:val="both"/>
        <w:rPr>
          <w:rFonts w:cs="Segoe UI"/>
          <w:szCs w:val="24"/>
        </w:rPr>
      </w:pPr>
      <w:r w:rsidRPr="00725AD6">
        <w:rPr>
          <w:rFonts w:cs="Segoe UI"/>
          <w:szCs w:val="24"/>
        </w:rPr>
        <w:t xml:space="preserve">the </w:t>
      </w:r>
      <w:r w:rsidRPr="00725AD6">
        <w:rPr>
          <w:rFonts w:cs="Segoe UI"/>
          <w:b/>
          <w:szCs w:val="24"/>
        </w:rPr>
        <w:t>financial services sector</w:t>
      </w:r>
      <w:r w:rsidRPr="00725AD6">
        <w:rPr>
          <w:rFonts w:cs="Segoe UI"/>
          <w:szCs w:val="24"/>
        </w:rPr>
        <w:t>, including banks and MFIs active in Niger</w:t>
      </w:r>
      <w:r w:rsidR="001D3DCF">
        <w:rPr>
          <w:rFonts w:cs="Segoe UI"/>
          <w:szCs w:val="24"/>
        </w:rPr>
        <w:t>,</w:t>
      </w:r>
      <w:r w:rsidRPr="00725AD6">
        <w:rPr>
          <w:rFonts w:cs="Segoe UI"/>
          <w:szCs w:val="24"/>
        </w:rPr>
        <w:t xml:space="preserve"> to understand the consumer and corporate finance landscape and levels of access to finance;</w:t>
      </w:r>
      <w:r w:rsidR="00670655" w:rsidRPr="00725AD6">
        <w:rPr>
          <w:rFonts w:cs="Segoe UI"/>
          <w:szCs w:val="24"/>
        </w:rPr>
        <w:t xml:space="preserve"> and</w:t>
      </w:r>
    </w:p>
    <w:p w14:paraId="005EB7D1" w14:textId="16DCB95F" w:rsidR="007D34B9" w:rsidRPr="00725AD6" w:rsidRDefault="007D34B9" w:rsidP="007D34B9">
      <w:pPr>
        <w:pStyle w:val="ListParagraph"/>
        <w:numPr>
          <w:ilvl w:val="0"/>
          <w:numId w:val="2"/>
        </w:numPr>
        <w:spacing w:before="120" w:after="120"/>
        <w:contextualSpacing w:val="0"/>
        <w:jc w:val="both"/>
        <w:rPr>
          <w:rFonts w:cs="Segoe UI"/>
          <w:szCs w:val="24"/>
        </w:rPr>
      </w:pPr>
      <w:r w:rsidRPr="00725AD6">
        <w:rPr>
          <w:rFonts w:cs="Segoe UI"/>
          <w:b/>
          <w:szCs w:val="24"/>
        </w:rPr>
        <w:t>Mobile network operators (MNOs)</w:t>
      </w:r>
      <w:r w:rsidRPr="00725AD6">
        <w:rPr>
          <w:rFonts w:cs="Segoe UI"/>
          <w:szCs w:val="24"/>
        </w:rPr>
        <w:t>, in particular their potential and appetite for partnerships with solar businesses (e.g. for mobile money transactions, distribution and marketing)</w:t>
      </w:r>
      <w:r w:rsidR="00670655" w:rsidRPr="00725AD6">
        <w:rPr>
          <w:rFonts w:cs="Segoe UI"/>
          <w:szCs w:val="24"/>
        </w:rPr>
        <w:t xml:space="preserve">. </w:t>
      </w:r>
    </w:p>
    <w:p w14:paraId="4142B8C2" w14:textId="3E77F026" w:rsidR="007D34B9" w:rsidRPr="00725AD6" w:rsidRDefault="007D34B9" w:rsidP="007D34B9">
      <w:pPr>
        <w:jc w:val="both"/>
        <w:rPr>
          <w:rFonts w:cs="Segoe UI"/>
        </w:rPr>
      </w:pPr>
      <w:r w:rsidRPr="00725AD6">
        <w:rPr>
          <w:rFonts w:cs="Segoe UI"/>
        </w:rPr>
        <w:t>We then synthesize these findings to determine the key barriers currently impeding market growth of the solar sector in Niger (chapter</w:t>
      </w:r>
      <w:r w:rsidR="00AD176C" w:rsidRPr="00725AD6">
        <w:rPr>
          <w:rFonts w:cs="Segoe UI"/>
        </w:rPr>
        <w:t xml:space="preserve"> 6</w:t>
      </w:r>
      <w:r w:rsidRPr="00725AD6">
        <w:rPr>
          <w:rFonts w:cs="Segoe UI"/>
        </w:rPr>
        <w:t>).</w:t>
      </w:r>
    </w:p>
    <w:p w14:paraId="79B5C7AC" w14:textId="079285A8" w:rsidR="007D34B9" w:rsidRPr="009B54BE" w:rsidRDefault="007D34B9" w:rsidP="007D34B9">
      <w:pPr>
        <w:jc w:val="both"/>
        <w:rPr>
          <w:rFonts w:cs="Segoe UI"/>
        </w:rPr>
      </w:pPr>
      <w:r w:rsidRPr="009B54BE">
        <w:rPr>
          <w:rFonts w:cs="Segoe UI"/>
        </w:rPr>
        <w:t xml:space="preserve">We believe that significant levels of government and development sector intervention will be required to support the market and stimulate rapid growth. Based on our analysis, the two sectors most primed for </w:t>
      </w:r>
      <w:r w:rsidRPr="009B54BE">
        <w:rPr>
          <w:rFonts w:cs="Segoe UI"/>
        </w:rPr>
        <w:lastRenderedPageBreak/>
        <w:t xml:space="preserve">rapid market-led growth are household solar devices and solar irrigation. Our recommended interventions therefore focus on overarching systemic interventions, financial interventions for the </w:t>
      </w:r>
      <w:r w:rsidR="001D3DCF">
        <w:rPr>
          <w:rFonts w:cs="Segoe UI"/>
        </w:rPr>
        <w:t xml:space="preserve">solar </w:t>
      </w:r>
      <w:r w:rsidRPr="009B54BE">
        <w:rPr>
          <w:rFonts w:cs="Segoe UI"/>
        </w:rPr>
        <w:t xml:space="preserve">home systems market, and financial interventions for the agricultural solar pumping kit market. We also size these interventions and suggest potential delivery mechanisms where appropriate (chapter </w:t>
      </w:r>
      <w:r w:rsidR="0028186F" w:rsidRPr="009B54BE">
        <w:rPr>
          <w:rFonts w:cs="Segoe UI"/>
        </w:rPr>
        <w:t>7</w:t>
      </w:r>
      <w:r w:rsidRPr="009B54BE">
        <w:rPr>
          <w:rFonts w:cs="Segoe UI"/>
        </w:rPr>
        <w:t>).</w:t>
      </w:r>
    </w:p>
    <w:p w14:paraId="254A4A47" w14:textId="25A34E1D" w:rsidR="0028186F" w:rsidRPr="00725AD6" w:rsidRDefault="0028186F" w:rsidP="0028186F">
      <w:pPr>
        <w:jc w:val="both"/>
        <w:rPr>
          <w:rFonts w:cs="Segoe UI"/>
        </w:rPr>
      </w:pPr>
      <w:r w:rsidRPr="009B54BE">
        <w:rPr>
          <w:rFonts w:cs="Segoe UI"/>
        </w:rPr>
        <w:t xml:space="preserve">In addition to the main report, the appendices contain an assessment of the opportunity for grid expansion, assessing how many households are within 5km and 10km reach of the current network, and estimating investment levels required to reach these households (Appendix A.1). We further look at the opportunity for developing mini-grids, discussing critical decision factors for investment, the regulatory environment in Niger, and different PPP structures for investment in mini-grids. We also assess the size and type of demand for energy and solar in each Commune, with the aim of identifying a shortlist of </w:t>
      </w:r>
      <w:r w:rsidR="001D3DCF">
        <w:rPr>
          <w:rFonts w:cs="Segoe UI"/>
        </w:rPr>
        <w:t>l</w:t>
      </w:r>
      <w:r w:rsidR="001D3DCF" w:rsidRPr="009B54BE">
        <w:rPr>
          <w:rFonts w:cs="Segoe UI"/>
        </w:rPr>
        <w:t>oca</w:t>
      </w:r>
      <w:r w:rsidR="00782189">
        <w:rPr>
          <w:rFonts w:cs="Segoe UI"/>
        </w:rPr>
        <w:t>lities</w:t>
      </w:r>
      <w:r w:rsidR="001D3DCF" w:rsidRPr="009B54BE">
        <w:rPr>
          <w:rFonts w:cs="Segoe UI"/>
        </w:rPr>
        <w:t xml:space="preserve"> </w:t>
      </w:r>
      <w:r w:rsidRPr="009B54BE">
        <w:rPr>
          <w:rFonts w:cs="Segoe UI"/>
        </w:rPr>
        <w:t>with sufficient demand (and distance to the current and future grid) to be well-suited as locations for new mini-grid construction (Appendix A.2). We then provide details on the methodology used and key assumptions made for assessing the business case and market size for each of the potential market segments (Appendix B), followed by draft terms of reference for fund managers and technical assistance providers (Appendix C).</w:t>
      </w:r>
      <w:r w:rsidRPr="00725AD6">
        <w:rPr>
          <w:rFonts w:cs="Segoe UI"/>
        </w:rPr>
        <w:t xml:space="preserve"> </w:t>
      </w:r>
    </w:p>
    <w:p w14:paraId="4DBA0A45" w14:textId="77777777" w:rsidR="007D34B9" w:rsidRPr="004A31C1" w:rsidRDefault="007D34B9" w:rsidP="002B61CE">
      <w:pPr>
        <w:pStyle w:val="H4NEWreportStyle"/>
      </w:pPr>
      <w:r>
        <w:t>Methodolo</w:t>
      </w:r>
      <w:r w:rsidRPr="004A31C1">
        <w:t>gy</w:t>
      </w:r>
    </w:p>
    <w:p w14:paraId="7528CB69" w14:textId="34B2E147" w:rsidR="007D34B9" w:rsidRPr="0033613D" w:rsidRDefault="007D34B9" w:rsidP="007D34B9">
      <w:pPr>
        <w:jc w:val="both"/>
        <w:rPr>
          <w:rFonts w:cs="Segoe UI"/>
        </w:rPr>
      </w:pPr>
      <w:r w:rsidRPr="0033613D">
        <w:rPr>
          <w:rFonts w:cs="Segoe UI"/>
        </w:rPr>
        <w:t>The findings in this report are the result of intensive secondary market research</w:t>
      </w:r>
      <w:r>
        <w:rPr>
          <w:rFonts w:cs="Segoe UI"/>
        </w:rPr>
        <w:t>, more than thirty stakeholder consultations</w:t>
      </w:r>
      <w:r w:rsidR="007B496A">
        <w:rPr>
          <w:rFonts w:cs="Segoe UI"/>
        </w:rPr>
        <w:t>,</w:t>
      </w:r>
      <w:r>
        <w:rPr>
          <w:rFonts w:cs="Segoe UI"/>
        </w:rPr>
        <w:t xml:space="preserve"> and six focus group</w:t>
      </w:r>
      <w:r w:rsidR="007B496A">
        <w:rPr>
          <w:rFonts w:cs="Segoe UI"/>
        </w:rPr>
        <w:t xml:space="preserve"> discussions</w:t>
      </w:r>
      <w:r>
        <w:rPr>
          <w:rFonts w:cs="Segoe UI"/>
        </w:rPr>
        <w:t>. Consultations were held with diverse industry stakeholders both in Niger and internationally to gain a broad understanding of the market, including:</w:t>
      </w:r>
    </w:p>
    <w:p w14:paraId="39106CE3" w14:textId="77777777" w:rsidR="007D34B9" w:rsidRDefault="007D34B9" w:rsidP="006A7E1D">
      <w:pPr>
        <w:pStyle w:val="ListParagraph"/>
        <w:numPr>
          <w:ilvl w:val="0"/>
          <w:numId w:val="22"/>
        </w:numPr>
      </w:pPr>
      <w:r w:rsidRPr="00BA027E">
        <w:t>Solar market players,</w:t>
      </w:r>
    </w:p>
    <w:p w14:paraId="462E101D" w14:textId="77777777" w:rsidR="007D34B9" w:rsidRPr="00BA027E" w:rsidRDefault="007D34B9" w:rsidP="006A7E1D">
      <w:pPr>
        <w:pStyle w:val="ListParagraph"/>
        <w:numPr>
          <w:ilvl w:val="0"/>
          <w:numId w:val="22"/>
        </w:numPr>
      </w:pPr>
      <w:r>
        <w:t>Other importers and distributors,</w:t>
      </w:r>
    </w:p>
    <w:p w14:paraId="702D0598" w14:textId="77777777" w:rsidR="007D34B9" w:rsidRPr="00BA027E" w:rsidRDefault="007D34B9" w:rsidP="006A7E1D">
      <w:pPr>
        <w:pStyle w:val="ListParagraph"/>
        <w:numPr>
          <w:ilvl w:val="0"/>
          <w:numId w:val="22"/>
        </w:numPr>
      </w:pPr>
      <w:r w:rsidRPr="00BA027E">
        <w:t>Government authorities,</w:t>
      </w:r>
    </w:p>
    <w:p w14:paraId="0A3C88FD" w14:textId="77777777" w:rsidR="007D34B9" w:rsidRPr="00BA027E" w:rsidRDefault="007D34B9" w:rsidP="006A7E1D">
      <w:pPr>
        <w:pStyle w:val="ListParagraph"/>
        <w:numPr>
          <w:ilvl w:val="0"/>
          <w:numId w:val="22"/>
        </w:numPr>
      </w:pPr>
      <w:r w:rsidRPr="00BA027E">
        <w:t>Development organizations,</w:t>
      </w:r>
    </w:p>
    <w:p w14:paraId="4F60139F" w14:textId="77777777" w:rsidR="007D34B9" w:rsidRPr="00BA027E" w:rsidRDefault="007D34B9" w:rsidP="006A7E1D">
      <w:pPr>
        <w:pStyle w:val="ListParagraph"/>
        <w:numPr>
          <w:ilvl w:val="0"/>
          <w:numId w:val="22"/>
        </w:numPr>
      </w:pPr>
      <w:r w:rsidRPr="00BA027E">
        <w:t>Commercial banks,</w:t>
      </w:r>
    </w:p>
    <w:p w14:paraId="33DDA011" w14:textId="77777777" w:rsidR="007D34B9" w:rsidRPr="00BA027E" w:rsidRDefault="007D34B9" w:rsidP="006A7E1D">
      <w:pPr>
        <w:pStyle w:val="ListParagraph"/>
        <w:numPr>
          <w:ilvl w:val="0"/>
          <w:numId w:val="22"/>
        </w:numPr>
      </w:pPr>
      <w:r w:rsidRPr="00BA027E">
        <w:t>Microfinance institutions,</w:t>
      </w:r>
      <w:r>
        <w:t xml:space="preserve"> and</w:t>
      </w:r>
    </w:p>
    <w:p w14:paraId="585275D4" w14:textId="77777777" w:rsidR="007D34B9" w:rsidRPr="00BA027E" w:rsidRDefault="007D34B9" w:rsidP="006A7E1D">
      <w:pPr>
        <w:pStyle w:val="ListParagraph"/>
        <w:numPr>
          <w:ilvl w:val="0"/>
          <w:numId w:val="22"/>
        </w:numPr>
      </w:pPr>
      <w:r>
        <w:t>Mobile network operators.</w:t>
      </w:r>
    </w:p>
    <w:p w14:paraId="212361A2" w14:textId="63AD0072" w:rsidR="007D34B9" w:rsidRDefault="007D34B9" w:rsidP="007D34B9">
      <w:pPr>
        <w:jc w:val="both"/>
        <w:rPr>
          <w:rFonts w:cs="Segoe UI"/>
        </w:rPr>
      </w:pPr>
      <w:r>
        <w:rPr>
          <w:rFonts w:cs="Segoe UI"/>
        </w:rPr>
        <w:t>To gain a detailed understanding of market perceptions and preferences for solar products, we further conducted six focus group</w:t>
      </w:r>
      <w:r w:rsidR="007B496A">
        <w:rPr>
          <w:rFonts w:cs="Segoe UI"/>
        </w:rPr>
        <w:t xml:space="preserve"> discussions</w:t>
      </w:r>
      <w:r>
        <w:rPr>
          <w:rFonts w:cs="Segoe UI"/>
        </w:rPr>
        <w:t xml:space="preserve"> in Niamey, Tahoua and Maradi. The focus group</w:t>
      </w:r>
      <w:r w:rsidR="007B496A">
        <w:rPr>
          <w:rFonts w:cs="Segoe UI"/>
        </w:rPr>
        <w:t xml:space="preserve"> discussions</w:t>
      </w:r>
      <w:r>
        <w:rPr>
          <w:rFonts w:cs="Segoe UI"/>
        </w:rPr>
        <w:t xml:space="preserve"> were held in semi-urban and rural areas:</w:t>
      </w:r>
    </w:p>
    <w:p w14:paraId="65654DF4" w14:textId="4802D90F" w:rsidR="007D34B9" w:rsidRDefault="007D34B9" w:rsidP="0099462C">
      <w:pPr>
        <w:pStyle w:val="Caption"/>
      </w:pPr>
      <w:bookmarkStart w:id="9" w:name="_Toc476298069"/>
      <w:bookmarkStart w:id="10" w:name="_Toc500969365"/>
      <w:r>
        <w:t xml:space="preserve">Table </w:t>
      </w:r>
      <w:fldSimple w:instr=" SEQ Table \* ARABIC ">
        <w:r w:rsidR="000D1C35">
          <w:rPr>
            <w:noProof/>
          </w:rPr>
          <w:t>1</w:t>
        </w:r>
      </w:fldSimple>
      <w:r>
        <w:t>: Overview of focus group</w:t>
      </w:r>
      <w:r w:rsidR="007B496A">
        <w:t xml:space="preserve"> discussions</w:t>
      </w:r>
      <w:r>
        <w:t xml:space="preserve"> conducted</w:t>
      </w:r>
      <w:bookmarkEnd w:id="9"/>
      <w:bookmarkEnd w:id="10"/>
    </w:p>
    <w:tbl>
      <w:tblPr>
        <w:tblStyle w:val="GridTable6Colorful"/>
        <w:tblW w:w="9355" w:type="dxa"/>
        <w:tblLook w:val="0220" w:firstRow="1" w:lastRow="0" w:firstColumn="0" w:lastColumn="0" w:noHBand="1" w:noVBand="0"/>
      </w:tblPr>
      <w:tblGrid>
        <w:gridCol w:w="2245"/>
        <w:gridCol w:w="3655"/>
        <w:gridCol w:w="3455"/>
      </w:tblGrid>
      <w:tr w:rsidR="007D34B9" w:rsidRPr="00852DE5" w14:paraId="677A3795" w14:textId="77777777" w:rsidTr="00F8517F">
        <w:trPr>
          <w:cnfStyle w:val="100000000000" w:firstRow="1" w:lastRow="0" w:firstColumn="0" w:lastColumn="0" w:oddVBand="0" w:evenVBand="0" w:oddHBand="0"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2245" w:type="dxa"/>
            <w:vAlign w:val="center"/>
          </w:tcPr>
          <w:p w14:paraId="7A6C7C21" w14:textId="77777777" w:rsidR="007D34B9" w:rsidRPr="00852DE5" w:rsidRDefault="007D34B9" w:rsidP="001B68C4">
            <w:pPr>
              <w:rPr>
                <w:sz w:val="20"/>
                <w:szCs w:val="20"/>
              </w:rPr>
            </w:pPr>
            <w:r w:rsidRPr="00852DE5">
              <w:rPr>
                <w:sz w:val="20"/>
                <w:szCs w:val="20"/>
              </w:rPr>
              <w:t>Region</w:t>
            </w:r>
          </w:p>
        </w:tc>
        <w:tc>
          <w:tcPr>
            <w:tcW w:w="3655" w:type="dxa"/>
            <w:vAlign w:val="center"/>
          </w:tcPr>
          <w:p w14:paraId="2EE2ECCF" w14:textId="1D72DEB2" w:rsidR="007D34B9" w:rsidRPr="00852DE5" w:rsidRDefault="007D34B9" w:rsidP="001B68C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Loca</w:t>
            </w:r>
            <w:r w:rsidR="00512EBD">
              <w:rPr>
                <w:sz w:val="20"/>
                <w:szCs w:val="20"/>
              </w:rPr>
              <w:t>lity</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52A38D8D" w14:textId="77777777" w:rsidR="007D34B9" w:rsidRPr="00852DE5" w:rsidRDefault="007D34B9" w:rsidP="001B68C4">
            <w:pPr>
              <w:rPr>
                <w:sz w:val="20"/>
                <w:szCs w:val="20"/>
              </w:rPr>
            </w:pPr>
            <w:r w:rsidRPr="00852DE5">
              <w:rPr>
                <w:sz w:val="20"/>
                <w:szCs w:val="20"/>
              </w:rPr>
              <w:t>Context</w:t>
            </w:r>
          </w:p>
        </w:tc>
      </w:tr>
      <w:tr w:rsidR="007D34B9" w:rsidRPr="00852DE5" w14:paraId="0792CA1B"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restart"/>
            <w:vAlign w:val="center"/>
          </w:tcPr>
          <w:p w14:paraId="56B33568" w14:textId="77777777" w:rsidR="007D34B9" w:rsidRPr="00852DE5" w:rsidRDefault="007D34B9" w:rsidP="001B68C4">
            <w:pPr>
              <w:rPr>
                <w:sz w:val="20"/>
                <w:szCs w:val="20"/>
              </w:rPr>
            </w:pPr>
            <w:r w:rsidRPr="00852DE5">
              <w:rPr>
                <w:sz w:val="20"/>
                <w:szCs w:val="20"/>
              </w:rPr>
              <w:t>Niamey</w:t>
            </w:r>
          </w:p>
        </w:tc>
        <w:tc>
          <w:tcPr>
            <w:tcW w:w="3655" w:type="dxa"/>
            <w:vAlign w:val="center"/>
          </w:tcPr>
          <w:p w14:paraId="3414AE4C"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Koubia Keyna</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186F7972" w14:textId="77777777" w:rsidR="007D34B9" w:rsidRPr="00852DE5" w:rsidRDefault="007D34B9" w:rsidP="001B68C4">
            <w:pPr>
              <w:rPr>
                <w:sz w:val="20"/>
                <w:szCs w:val="20"/>
              </w:rPr>
            </w:pPr>
            <w:r>
              <w:rPr>
                <w:sz w:val="20"/>
                <w:szCs w:val="20"/>
              </w:rPr>
              <w:t>Semi-urban, off-grid</w:t>
            </w:r>
          </w:p>
        </w:tc>
      </w:tr>
      <w:tr w:rsidR="007D34B9" w:rsidRPr="00852DE5" w14:paraId="20713310"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ign w:val="center"/>
          </w:tcPr>
          <w:p w14:paraId="2560306C" w14:textId="77777777" w:rsidR="007D34B9" w:rsidRPr="00852DE5" w:rsidRDefault="007D34B9" w:rsidP="001B68C4">
            <w:pPr>
              <w:rPr>
                <w:sz w:val="20"/>
                <w:szCs w:val="20"/>
              </w:rPr>
            </w:pPr>
          </w:p>
        </w:tc>
        <w:tc>
          <w:tcPr>
            <w:tcW w:w="3655" w:type="dxa"/>
            <w:vAlign w:val="center"/>
          </w:tcPr>
          <w:p w14:paraId="762E6511"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Bongoula</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6CE8221A" w14:textId="77777777" w:rsidR="007D34B9" w:rsidRPr="00852DE5" w:rsidRDefault="007D34B9" w:rsidP="001B68C4">
            <w:pPr>
              <w:rPr>
                <w:sz w:val="20"/>
                <w:szCs w:val="20"/>
              </w:rPr>
            </w:pPr>
            <w:r>
              <w:rPr>
                <w:sz w:val="20"/>
                <w:szCs w:val="20"/>
              </w:rPr>
              <w:t>Rural, off-grid</w:t>
            </w:r>
          </w:p>
        </w:tc>
      </w:tr>
      <w:tr w:rsidR="007D34B9" w:rsidRPr="00852DE5" w14:paraId="2EE4096F"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restart"/>
            <w:vAlign w:val="center"/>
          </w:tcPr>
          <w:p w14:paraId="31C0AAC8" w14:textId="77777777" w:rsidR="007D34B9" w:rsidRPr="00852DE5" w:rsidRDefault="007D34B9" w:rsidP="001B68C4">
            <w:pPr>
              <w:rPr>
                <w:sz w:val="20"/>
                <w:szCs w:val="20"/>
              </w:rPr>
            </w:pPr>
            <w:r w:rsidRPr="00852DE5">
              <w:rPr>
                <w:sz w:val="20"/>
                <w:szCs w:val="20"/>
              </w:rPr>
              <w:t>Tahoua</w:t>
            </w:r>
          </w:p>
        </w:tc>
        <w:tc>
          <w:tcPr>
            <w:tcW w:w="3655" w:type="dxa"/>
            <w:vAlign w:val="center"/>
          </w:tcPr>
          <w:p w14:paraId="47647673"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Bazaga</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7420F1AA" w14:textId="77777777" w:rsidR="007D34B9" w:rsidRPr="00852DE5" w:rsidRDefault="007D34B9" w:rsidP="001B68C4">
            <w:pPr>
              <w:rPr>
                <w:sz w:val="20"/>
                <w:szCs w:val="20"/>
              </w:rPr>
            </w:pPr>
            <w:r>
              <w:rPr>
                <w:sz w:val="20"/>
                <w:szCs w:val="20"/>
              </w:rPr>
              <w:t>Rural, off-grid</w:t>
            </w:r>
          </w:p>
        </w:tc>
      </w:tr>
      <w:tr w:rsidR="007D34B9" w:rsidRPr="00852DE5" w14:paraId="6BCC7A73"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ign w:val="center"/>
          </w:tcPr>
          <w:p w14:paraId="7D4AB8C5" w14:textId="77777777" w:rsidR="007D34B9" w:rsidRPr="00852DE5" w:rsidRDefault="007D34B9" w:rsidP="001B68C4">
            <w:pPr>
              <w:rPr>
                <w:sz w:val="20"/>
                <w:szCs w:val="20"/>
              </w:rPr>
            </w:pPr>
          </w:p>
        </w:tc>
        <w:tc>
          <w:tcPr>
            <w:tcW w:w="3655" w:type="dxa"/>
            <w:vAlign w:val="center"/>
          </w:tcPr>
          <w:p w14:paraId="369F486A"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Gari Isaa</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17A9E540" w14:textId="77777777" w:rsidR="007D34B9" w:rsidRPr="00852DE5" w:rsidRDefault="007D34B9" w:rsidP="001B68C4">
            <w:pPr>
              <w:rPr>
                <w:sz w:val="20"/>
                <w:szCs w:val="20"/>
              </w:rPr>
            </w:pPr>
            <w:r>
              <w:rPr>
                <w:sz w:val="20"/>
                <w:szCs w:val="20"/>
              </w:rPr>
              <w:t>Semi-urban, off-grid</w:t>
            </w:r>
          </w:p>
        </w:tc>
      </w:tr>
      <w:tr w:rsidR="007D34B9" w:rsidRPr="00852DE5" w14:paraId="29E5442B"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restart"/>
            <w:vAlign w:val="center"/>
          </w:tcPr>
          <w:p w14:paraId="1E828271" w14:textId="77777777" w:rsidR="007D34B9" w:rsidRPr="00852DE5" w:rsidRDefault="007D34B9" w:rsidP="001B68C4">
            <w:pPr>
              <w:rPr>
                <w:sz w:val="20"/>
                <w:szCs w:val="20"/>
              </w:rPr>
            </w:pPr>
            <w:r w:rsidRPr="00852DE5">
              <w:rPr>
                <w:sz w:val="20"/>
                <w:szCs w:val="20"/>
              </w:rPr>
              <w:t>Maradi</w:t>
            </w:r>
          </w:p>
        </w:tc>
        <w:tc>
          <w:tcPr>
            <w:tcW w:w="3655" w:type="dxa"/>
            <w:vAlign w:val="center"/>
          </w:tcPr>
          <w:p w14:paraId="0FD2FBDA"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Baratoua</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2C1482A8" w14:textId="77777777" w:rsidR="007D34B9" w:rsidRPr="00852DE5" w:rsidRDefault="007D34B9" w:rsidP="001B68C4">
            <w:pPr>
              <w:rPr>
                <w:sz w:val="20"/>
                <w:szCs w:val="20"/>
              </w:rPr>
            </w:pPr>
            <w:r>
              <w:rPr>
                <w:sz w:val="20"/>
                <w:szCs w:val="20"/>
              </w:rPr>
              <w:t>Rural, off-grid</w:t>
            </w:r>
          </w:p>
        </w:tc>
      </w:tr>
      <w:tr w:rsidR="007D34B9" w:rsidRPr="00852DE5" w14:paraId="289D01FE" w14:textId="77777777" w:rsidTr="00F8517F">
        <w:trPr>
          <w:trHeight w:val="324"/>
        </w:trPr>
        <w:tc>
          <w:tcPr>
            <w:cnfStyle w:val="000010000000" w:firstRow="0" w:lastRow="0" w:firstColumn="0" w:lastColumn="0" w:oddVBand="1" w:evenVBand="0" w:oddHBand="0" w:evenHBand="0" w:firstRowFirstColumn="0" w:firstRowLastColumn="0" w:lastRowFirstColumn="0" w:lastRowLastColumn="0"/>
            <w:tcW w:w="2245" w:type="dxa"/>
            <w:vMerge/>
            <w:vAlign w:val="center"/>
          </w:tcPr>
          <w:p w14:paraId="5B74F6FE" w14:textId="77777777" w:rsidR="007D34B9" w:rsidRPr="00852DE5" w:rsidRDefault="007D34B9" w:rsidP="001B68C4">
            <w:pPr>
              <w:rPr>
                <w:sz w:val="20"/>
                <w:szCs w:val="20"/>
              </w:rPr>
            </w:pPr>
          </w:p>
        </w:tc>
        <w:tc>
          <w:tcPr>
            <w:tcW w:w="3655" w:type="dxa"/>
            <w:vAlign w:val="center"/>
          </w:tcPr>
          <w:p w14:paraId="31345227" w14:textId="77777777" w:rsidR="007D34B9" w:rsidRPr="00852DE5" w:rsidRDefault="007D34B9" w:rsidP="001B68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Riadi Safo</w:t>
            </w:r>
          </w:p>
        </w:tc>
        <w:tc>
          <w:tcPr>
            <w:cnfStyle w:val="000010000000" w:firstRow="0" w:lastRow="0" w:firstColumn="0" w:lastColumn="0" w:oddVBand="1" w:evenVBand="0" w:oddHBand="0" w:evenHBand="0" w:firstRowFirstColumn="0" w:firstRowLastColumn="0" w:lastRowFirstColumn="0" w:lastRowLastColumn="0"/>
            <w:tcW w:w="3455" w:type="dxa"/>
            <w:vAlign w:val="center"/>
          </w:tcPr>
          <w:p w14:paraId="3F4080E1" w14:textId="77777777" w:rsidR="007D34B9" w:rsidRPr="00852DE5" w:rsidRDefault="007D34B9" w:rsidP="001B68C4">
            <w:pPr>
              <w:rPr>
                <w:sz w:val="20"/>
                <w:szCs w:val="20"/>
              </w:rPr>
            </w:pPr>
            <w:r>
              <w:rPr>
                <w:sz w:val="20"/>
                <w:szCs w:val="20"/>
              </w:rPr>
              <w:t>Semi-urban, on-grid</w:t>
            </w:r>
          </w:p>
        </w:tc>
      </w:tr>
    </w:tbl>
    <w:p w14:paraId="2A624757" w14:textId="77777777" w:rsidR="007D34B9" w:rsidRPr="0014037B" w:rsidRDefault="007D34B9" w:rsidP="00F8517F">
      <w:pPr>
        <w:spacing w:after="0"/>
        <w:jc w:val="both"/>
        <w:rPr>
          <w:rFonts w:cs="Segoe UI"/>
          <w:sz w:val="12"/>
          <w:szCs w:val="12"/>
        </w:rPr>
      </w:pPr>
    </w:p>
    <w:p w14:paraId="15F50951" w14:textId="17926260" w:rsidR="007D34B9" w:rsidRDefault="007D34B9" w:rsidP="007D34B9">
      <w:pPr>
        <w:jc w:val="both"/>
        <w:rPr>
          <w:rFonts w:cs="Segoe UI"/>
        </w:rPr>
      </w:pPr>
      <w:r>
        <w:rPr>
          <w:rFonts w:cs="Segoe UI"/>
        </w:rPr>
        <w:t>On average</w:t>
      </w:r>
      <w:r w:rsidR="00F4356B">
        <w:rPr>
          <w:rFonts w:cs="Segoe UI"/>
        </w:rPr>
        <w:t>,</w:t>
      </w:r>
      <w:r>
        <w:rPr>
          <w:rFonts w:cs="Segoe UI"/>
        </w:rPr>
        <w:t xml:space="preserve"> the focus groups had 15 participants</w:t>
      </w:r>
      <w:r w:rsidR="007B496A">
        <w:rPr>
          <w:rFonts w:cs="Segoe UI"/>
        </w:rPr>
        <w:t xml:space="preserve"> each</w:t>
      </w:r>
      <w:r>
        <w:rPr>
          <w:rFonts w:cs="Segoe UI"/>
        </w:rPr>
        <w:t xml:space="preserve">, </w:t>
      </w:r>
      <w:r w:rsidRPr="0033613D">
        <w:rPr>
          <w:rFonts w:cs="Segoe UI"/>
        </w:rPr>
        <w:t xml:space="preserve">who were selected to ensure a diverse mix of perspectives </w:t>
      </w:r>
      <w:r w:rsidR="007B496A">
        <w:rPr>
          <w:rFonts w:cs="Segoe UI"/>
        </w:rPr>
        <w:t>to be able to</w:t>
      </w:r>
      <w:r w:rsidRPr="0033613D">
        <w:rPr>
          <w:rFonts w:cs="Segoe UI"/>
        </w:rPr>
        <w:t xml:space="preserve"> gain broad insights on perceptions and preferences. </w:t>
      </w:r>
      <w:r>
        <w:rPr>
          <w:rFonts w:cs="Segoe UI"/>
        </w:rPr>
        <w:t>The only on-grid loca</w:t>
      </w:r>
      <w:r w:rsidR="00DC4202">
        <w:rPr>
          <w:rFonts w:cs="Segoe UI"/>
        </w:rPr>
        <w:t>lity</w:t>
      </w:r>
      <w:r>
        <w:rPr>
          <w:rFonts w:cs="Segoe UI"/>
        </w:rPr>
        <w:t xml:space="preserve"> was Riadi Safo; in this focus group around 30% of participants had household grid access.</w:t>
      </w:r>
      <w:r w:rsidR="00F8517F">
        <w:rPr>
          <w:rFonts w:cs="Segoe UI"/>
        </w:rPr>
        <w:t xml:space="preserve"> </w:t>
      </w:r>
      <w:r>
        <w:rPr>
          <w:rFonts w:cs="Segoe UI"/>
        </w:rPr>
        <w:t>Overall, around 10% of participants are currently using, or have used</w:t>
      </w:r>
      <w:r w:rsidR="007B496A">
        <w:rPr>
          <w:rFonts w:cs="Segoe UI"/>
        </w:rPr>
        <w:t>,</w:t>
      </w:r>
      <w:r>
        <w:rPr>
          <w:rFonts w:cs="Segoe UI"/>
        </w:rPr>
        <w:t xml:space="preserve"> solar products, compared to 90% without any direct solar usage experience. Around 35% of participants were female, and </w:t>
      </w:r>
      <w:r w:rsidR="007B496A">
        <w:rPr>
          <w:rFonts w:cs="Segoe UI"/>
        </w:rPr>
        <w:t>ages</w:t>
      </w:r>
      <w:r>
        <w:rPr>
          <w:rFonts w:cs="Segoe UI"/>
        </w:rPr>
        <w:t xml:space="preserve"> ranged from under 20 to over 60, with a strong concentration between (i) 20 to 40 years of age (48%), and (ii) between 40 to 60 years (43%). </w:t>
      </w:r>
    </w:p>
    <w:p w14:paraId="747337C6" w14:textId="2729BCC8" w:rsidR="007D34B9" w:rsidRDefault="007D34B9" w:rsidP="0099462C">
      <w:pPr>
        <w:pStyle w:val="Caption"/>
      </w:pPr>
      <w:bookmarkStart w:id="11" w:name="_Toc476298046"/>
      <w:bookmarkStart w:id="12" w:name="_Toc500969339"/>
      <w:r>
        <w:t xml:space="preserve">Figure </w:t>
      </w:r>
      <w:fldSimple w:instr=" SEQ Figure \* ARABIC ">
        <w:r w:rsidR="000D1C35">
          <w:rPr>
            <w:noProof/>
          </w:rPr>
          <w:t>2</w:t>
        </w:r>
      </w:fldSimple>
      <w:r>
        <w:t>: Focus group participants in Maradi</w:t>
      </w:r>
      <w:bookmarkEnd w:id="11"/>
      <w:bookmarkEnd w:id="12"/>
    </w:p>
    <w:p w14:paraId="2076996D" w14:textId="66680C5E" w:rsidR="00946653" w:rsidRDefault="007D34B9" w:rsidP="007D34B9">
      <w:pPr>
        <w:jc w:val="both"/>
        <w:rPr>
          <w:rFonts w:eastAsiaTheme="majorEastAsia" w:cs="Segoe UI"/>
          <w:b/>
          <w:bCs/>
          <w:color w:val="6BADB7" w:themeColor="accent1" w:themeShade="BF"/>
          <w:sz w:val="28"/>
          <w:szCs w:val="28"/>
        </w:rPr>
      </w:pPr>
      <w:r>
        <w:rPr>
          <w:noProof/>
        </w:rPr>
        <w:drawing>
          <wp:inline distT="0" distB="0" distL="0" distR="0" wp14:anchorId="192DE757" wp14:editId="33EE644B">
            <wp:extent cx="3640347" cy="2047744"/>
            <wp:effectExtent l="0" t="0" r="0"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3662526" cy="2060220"/>
                    </a:xfrm>
                    <a:prstGeom prst="rect">
                      <a:avLst/>
                    </a:prstGeom>
                    <a:effectLst>
                      <a:softEdge rad="31750"/>
                    </a:effectLst>
                  </pic:spPr>
                </pic:pic>
              </a:graphicData>
            </a:graphic>
          </wp:inline>
        </w:drawing>
      </w:r>
    </w:p>
    <w:p w14:paraId="1D2114B4" w14:textId="24EFD978" w:rsidR="00913D19" w:rsidRPr="00C75CB5" w:rsidRDefault="007C59DB" w:rsidP="00C75CB5">
      <w:pPr>
        <w:pStyle w:val="H1NEWreportStyle"/>
      </w:pPr>
      <w:bookmarkStart w:id="13" w:name="_Ref476124684"/>
      <w:bookmarkStart w:id="14" w:name="_Toc501097025"/>
      <w:r w:rsidRPr="00C75CB5">
        <w:t>Grid power and grid expansion</w:t>
      </w:r>
      <w:bookmarkEnd w:id="13"/>
      <w:bookmarkEnd w:id="14"/>
    </w:p>
    <w:p w14:paraId="023B8597" w14:textId="271A457B" w:rsidR="00186CF7" w:rsidRPr="00186CF7" w:rsidRDefault="00186CF7" w:rsidP="00186CF7">
      <w:pPr>
        <w:jc w:val="both"/>
        <w:rPr>
          <w:rFonts w:cs="Segoe UI"/>
        </w:rPr>
      </w:pPr>
      <w:r w:rsidRPr="00186CF7">
        <w:rPr>
          <w:rFonts w:cs="Segoe UI"/>
        </w:rPr>
        <w:t>Access to electricity in Niger remains among the low</w:t>
      </w:r>
      <w:r w:rsidR="00364926">
        <w:rPr>
          <w:rFonts w:cs="Segoe UI"/>
        </w:rPr>
        <w:t xml:space="preserve">est in Africa. Only around 10% </w:t>
      </w:r>
      <w:r w:rsidRPr="00186CF7">
        <w:rPr>
          <w:rFonts w:cs="Segoe UI"/>
        </w:rPr>
        <w:t xml:space="preserve">of the population </w:t>
      </w:r>
      <w:r w:rsidR="007B496A">
        <w:rPr>
          <w:rFonts w:cs="Segoe UI"/>
        </w:rPr>
        <w:t>has</w:t>
      </w:r>
      <w:r w:rsidR="007B496A" w:rsidRPr="00186CF7">
        <w:rPr>
          <w:rFonts w:cs="Segoe UI"/>
        </w:rPr>
        <w:t xml:space="preserve"> </w:t>
      </w:r>
      <w:r w:rsidRPr="00186CF7">
        <w:rPr>
          <w:rFonts w:cs="Segoe UI"/>
        </w:rPr>
        <w:t>access to electricity from the grid, far below the Sub-Sahar</w:t>
      </w:r>
      <w:r w:rsidR="001A626A">
        <w:rPr>
          <w:rFonts w:cs="Segoe UI"/>
        </w:rPr>
        <w:t>an Africa average of 31%</w:t>
      </w:r>
      <w:r w:rsidRPr="00186CF7">
        <w:rPr>
          <w:rFonts w:cs="Segoe UI"/>
        </w:rPr>
        <w:t>. Grid access to electricity is largely concentrated in urban areas: around 70% of the population living in Niamey have access</w:t>
      </w:r>
      <w:r w:rsidR="00364926">
        <w:rPr>
          <w:rFonts w:cs="Segoe UI"/>
        </w:rPr>
        <w:t xml:space="preserve"> to electricity, while only 1% </w:t>
      </w:r>
      <w:r w:rsidRPr="00186CF7">
        <w:rPr>
          <w:rFonts w:cs="Segoe UI"/>
        </w:rPr>
        <w:t>of the rural population currently has access to electricity.</w:t>
      </w:r>
      <w:r w:rsidR="00D4190F">
        <w:rPr>
          <w:rStyle w:val="FootnoteReference"/>
          <w:rFonts w:cs="Segoe UI"/>
        </w:rPr>
        <w:footnoteReference w:id="5"/>
      </w:r>
      <w:r w:rsidRPr="00186CF7">
        <w:rPr>
          <w:rFonts w:cs="Segoe UI"/>
        </w:rPr>
        <w:t xml:space="preserve"> </w:t>
      </w:r>
    </w:p>
    <w:p w14:paraId="4080ADE0" w14:textId="77777777" w:rsidR="00186CF7" w:rsidRPr="00186CF7" w:rsidRDefault="00186CF7" w:rsidP="00186CF7">
      <w:pPr>
        <w:jc w:val="both"/>
        <w:rPr>
          <w:rFonts w:cs="Segoe UI"/>
        </w:rPr>
      </w:pPr>
      <w:r w:rsidRPr="00186CF7">
        <w:rPr>
          <w:rFonts w:cs="Segoe UI"/>
        </w:rPr>
        <w:t xml:space="preserve">Even for grid-connected consumers, however, power access is highly sporadic. Brownouts and blackouts are extremely frequent due to low generation capacity and underdeveloped infrastructure, and continue to drive heavy reliance on energy imports and back-up power solutions, mostly diesel generators. </w:t>
      </w:r>
    </w:p>
    <w:p w14:paraId="3F428C95" w14:textId="1DAA609F" w:rsidR="004372FE" w:rsidRDefault="00186CF7" w:rsidP="00B3489C">
      <w:pPr>
        <w:jc w:val="both"/>
        <w:rPr>
          <w:rFonts w:cs="Segoe UI"/>
        </w:rPr>
      </w:pPr>
      <w:r w:rsidRPr="00186CF7">
        <w:rPr>
          <w:rFonts w:cs="Segoe UI"/>
        </w:rPr>
        <w:t>There are already many detailed, informative reports on t</w:t>
      </w:r>
      <w:r w:rsidR="00364926">
        <w:rPr>
          <w:rFonts w:cs="Segoe UI"/>
        </w:rPr>
        <w:t xml:space="preserve">he state of grid </w:t>
      </w:r>
      <w:r w:rsidR="007B496A">
        <w:rPr>
          <w:rFonts w:cs="Segoe UI"/>
        </w:rPr>
        <w:t xml:space="preserve">electricity </w:t>
      </w:r>
      <w:r w:rsidR="00364926">
        <w:rPr>
          <w:rFonts w:cs="Segoe UI"/>
        </w:rPr>
        <w:t>in Niger</w:t>
      </w:r>
      <w:r w:rsidRPr="00186CF7">
        <w:rPr>
          <w:rFonts w:cs="Segoe UI"/>
        </w:rPr>
        <w:t xml:space="preserve">. We therefore only provide a brief summary </w:t>
      </w:r>
      <w:r w:rsidR="00340240">
        <w:rPr>
          <w:rFonts w:cs="Segoe UI"/>
        </w:rPr>
        <w:t>in this chapter t</w:t>
      </w:r>
      <w:r w:rsidR="00B95D77">
        <w:rPr>
          <w:rFonts w:cs="Segoe UI"/>
        </w:rPr>
        <w:t xml:space="preserve">o set the context </w:t>
      </w:r>
      <w:r w:rsidR="00340240">
        <w:rPr>
          <w:rFonts w:cs="Segoe UI"/>
        </w:rPr>
        <w:t xml:space="preserve">for </w:t>
      </w:r>
      <w:r w:rsidR="00B95D77">
        <w:rPr>
          <w:rFonts w:cs="Segoe UI"/>
        </w:rPr>
        <w:t>the market opportunity for</w:t>
      </w:r>
      <w:r w:rsidR="00340240">
        <w:rPr>
          <w:rFonts w:cs="Segoe UI"/>
        </w:rPr>
        <w:t xml:space="preserve"> solar solutions. </w:t>
      </w:r>
    </w:p>
    <w:p w14:paraId="2763987A" w14:textId="37054FF5" w:rsidR="00B3489C" w:rsidRPr="00B3489C" w:rsidRDefault="00B3489C" w:rsidP="00B3489C">
      <w:pPr>
        <w:jc w:val="both"/>
        <w:rPr>
          <w:rFonts w:cs="Segoe UI"/>
        </w:rPr>
      </w:pPr>
      <w:r w:rsidRPr="00B3489C">
        <w:rPr>
          <w:rFonts w:cs="Segoe UI"/>
        </w:rPr>
        <w:t>In the course of our research, we also assessed the opportunity of reaching loca</w:t>
      </w:r>
      <w:r w:rsidR="00DC4202">
        <w:rPr>
          <w:rFonts w:cs="Segoe UI"/>
        </w:rPr>
        <w:t>lities</w:t>
      </w:r>
      <w:r w:rsidRPr="00B3489C">
        <w:rPr>
          <w:rFonts w:cs="Segoe UI"/>
        </w:rPr>
        <w:t xml:space="preserve"> with high demand density through grid extension or construction of mini-grids.</w:t>
      </w:r>
      <w:r w:rsidR="004372FE">
        <w:rPr>
          <w:rFonts w:cs="Segoe UI"/>
        </w:rPr>
        <w:t xml:space="preserve"> </w:t>
      </w:r>
      <w:r w:rsidRPr="00B3489C">
        <w:rPr>
          <w:rFonts w:cs="Segoe UI"/>
        </w:rPr>
        <w:t xml:space="preserve">Our research revealed that in addition to the estimated 11% of households currently on-grid, an estimated additional 33% live within 5km of the grid, </w:t>
      </w:r>
      <w:r w:rsidRPr="00B3489C">
        <w:rPr>
          <w:rFonts w:cs="Segoe UI"/>
        </w:rPr>
        <w:lastRenderedPageBreak/>
        <w:t xml:space="preserve">and might therefore be well suited for relatively inexpensive grid extension initiatives in line with </w:t>
      </w:r>
      <w:r w:rsidR="003875E7">
        <w:rPr>
          <w:rFonts w:cs="Segoe UI"/>
        </w:rPr>
        <w:t>the Sociéte Nigerienne d’Electricité’s (</w:t>
      </w:r>
      <w:r w:rsidR="003875E7" w:rsidRPr="00B3489C">
        <w:rPr>
          <w:rFonts w:cs="Segoe UI"/>
        </w:rPr>
        <w:t>NIGELEC</w:t>
      </w:r>
      <w:r w:rsidR="003875E7">
        <w:rPr>
          <w:rFonts w:cs="Segoe UI"/>
        </w:rPr>
        <w:t>)</w:t>
      </w:r>
      <w:r w:rsidRPr="00B3489C">
        <w:rPr>
          <w:rFonts w:cs="Segoe UI"/>
        </w:rPr>
        <w:t xml:space="preserve"> broad objective to electrify communities within 5km of the current grid. An additional 39% of households are within 5-20km of the grid and may still be accessible, but at increasing costs. Finally, 17% of households are situated over 20km from the grid, and are unlikely to be grid-connected in the near term in the absence of </w:t>
      </w:r>
      <w:r w:rsidR="007B496A">
        <w:rPr>
          <w:rFonts w:cs="Segoe UI"/>
        </w:rPr>
        <w:t xml:space="preserve">significantly </w:t>
      </w:r>
      <w:r w:rsidRPr="00B3489C">
        <w:rPr>
          <w:rFonts w:cs="Segoe UI"/>
        </w:rPr>
        <w:t xml:space="preserve">more substantial investment in infrastructure. </w:t>
      </w:r>
    </w:p>
    <w:p w14:paraId="32DD5930" w14:textId="47D2B286" w:rsidR="00B3489C" w:rsidRPr="00B3489C" w:rsidRDefault="00B3489C" w:rsidP="00B3489C">
      <w:pPr>
        <w:jc w:val="both"/>
        <w:rPr>
          <w:rFonts w:cs="Segoe UI"/>
        </w:rPr>
      </w:pPr>
      <w:r w:rsidRPr="00B3489C">
        <w:rPr>
          <w:rFonts w:cs="Segoe UI"/>
        </w:rPr>
        <w:t>Based on our analysis, we estimate total costs of approximately US $1.1 billion to extend grid access to the one million off-grid households within 5km of the grid, or around US $1,100 on average</w:t>
      </w:r>
      <w:r w:rsidR="007B496A">
        <w:rPr>
          <w:rFonts w:cs="Segoe UI"/>
        </w:rPr>
        <w:t>,</w:t>
      </w:r>
      <w:r w:rsidRPr="00B3489C">
        <w:rPr>
          <w:rFonts w:cs="Segoe UI"/>
        </w:rPr>
        <w:t xml:space="preserve"> per household. An estimated 460,000 households are situated 5-10km of the grid, and to reach these would require an </w:t>
      </w:r>
      <w:r w:rsidR="007B496A">
        <w:rPr>
          <w:rFonts w:cs="Segoe UI"/>
        </w:rPr>
        <w:t xml:space="preserve">additional </w:t>
      </w:r>
      <w:r w:rsidRPr="00B3489C">
        <w:rPr>
          <w:rFonts w:cs="Segoe UI"/>
        </w:rPr>
        <w:t xml:space="preserve">estimated investment of approximately US $ 1.3 billion (around US $ 2,900 per household). Finally, around 785,000 households are estimated to be between 10-20km of the grid. To reach these would require an estimated investment of US $ 4.7 billion dollars, or around US $ 6,000 per household. These costs only reflect the immediate costs of grid line extension and household connections, but exclude the cost of producing more energy. Further details on this analysis are provided in Appendix A.1. </w:t>
      </w:r>
    </w:p>
    <w:p w14:paraId="1A693004" w14:textId="1B800C21" w:rsidR="00B3489C" w:rsidRDefault="007B496A" w:rsidP="00B3489C">
      <w:pPr>
        <w:jc w:val="both"/>
        <w:rPr>
          <w:rFonts w:cs="Segoe UI"/>
        </w:rPr>
      </w:pPr>
      <w:r>
        <w:rPr>
          <w:rFonts w:cs="Segoe UI"/>
        </w:rPr>
        <w:t>Given the costs, m</w:t>
      </w:r>
      <w:r w:rsidR="00B3489C" w:rsidRPr="00B3489C">
        <w:rPr>
          <w:rFonts w:cs="Segoe UI"/>
        </w:rPr>
        <w:t xml:space="preserve">any geographic areas in Niger are unlikely to be reached by the grid in the short- to medium-term, and therefore represent an opportunity to be served </w:t>
      </w:r>
      <w:r>
        <w:rPr>
          <w:rFonts w:cs="Segoe UI"/>
        </w:rPr>
        <w:t>by</w:t>
      </w:r>
      <w:r w:rsidRPr="00B3489C">
        <w:rPr>
          <w:rFonts w:cs="Segoe UI"/>
        </w:rPr>
        <w:t xml:space="preserve"> </w:t>
      </w:r>
      <w:r w:rsidR="00B3489C" w:rsidRPr="00B3489C">
        <w:rPr>
          <w:rFonts w:cs="Segoe UI"/>
        </w:rPr>
        <w:t xml:space="preserve">off-grid solutions. While individual microsystems have the potential to positively change the current electricity landscape in Niger, they are unsuited for many commercial applications, are often difficult and costly to distribute, and the upfront investment requirements often limit the affordable energy consumption profile. An additional alternative to individual microsystems are mini-grids; they typically operate on a community scale, and are managed by an independent provider selling energy as a utility service. We further explore this topic in Appendix A.2, looking at critical decision factors for investment in mini-grids, the regulatory environment for mini-grids in Niger, different PPP structures for mini-grid investments, and the process for identifying high </w:t>
      </w:r>
      <w:r w:rsidR="00F93BCF">
        <w:rPr>
          <w:rFonts w:cs="Segoe UI"/>
        </w:rPr>
        <w:t xml:space="preserve">impact </w:t>
      </w:r>
      <w:r w:rsidR="00B3489C" w:rsidRPr="00B3489C">
        <w:rPr>
          <w:rFonts w:cs="Segoe UI"/>
        </w:rPr>
        <w:t>potential locations for mini-grids.</w:t>
      </w:r>
    </w:p>
    <w:p w14:paraId="2E522BEE" w14:textId="47C995E9" w:rsidR="00C21E9E" w:rsidRPr="001B68C4" w:rsidRDefault="00946653" w:rsidP="0099462C">
      <w:pPr>
        <w:pStyle w:val="Caption"/>
      </w:pPr>
      <w:r w:rsidRPr="001B68C4">
        <w:rPr>
          <w:noProof/>
        </w:rPr>
        <w:lastRenderedPageBreak/>
        <mc:AlternateContent>
          <mc:Choice Requires="wps">
            <w:drawing>
              <wp:anchor distT="182880" distB="182880" distL="182880" distR="182880" simplePos="0" relativeHeight="251676672" behindDoc="0" locked="0" layoutInCell="1" allowOverlap="0" wp14:anchorId="0A050F00" wp14:editId="1A3F7599">
                <wp:simplePos x="0" y="0"/>
                <wp:positionH relativeFrom="margin">
                  <wp:align>right</wp:align>
                </wp:positionH>
                <wp:positionV relativeFrom="paragraph">
                  <wp:posOffset>224155</wp:posOffset>
                </wp:positionV>
                <wp:extent cx="5924550" cy="7616825"/>
                <wp:effectExtent l="0" t="0" r="19050" b="22225"/>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616825"/>
                        </a:xfrm>
                        <a:prstGeom prst="rect">
                          <a:avLst/>
                        </a:prstGeom>
                        <a:solidFill>
                          <a:schemeClr val="accent2">
                            <a:lumMod val="20000"/>
                            <a:lumOff val="80000"/>
                          </a:schemeClr>
                        </a:solidFill>
                        <a:ln w="15875">
                          <a:solidFill>
                            <a:schemeClr val="bg2">
                              <a:lumMod val="50000"/>
                              <a:alpha val="91000"/>
                            </a:schemeClr>
                          </a:solidFill>
                        </a:ln>
                        <a:extLst/>
                      </wps:spPr>
                      <wps:style>
                        <a:lnRef idx="0">
                          <a:scrgbClr r="0" g="0" b="0"/>
                        </a:lnRef>
                        <a:fillRef idx="1002">
                          <a:schemeClr val="lt2"/>
                        </a:fillRef>
                        <a:effectRef idx="0">
                          <a:scrgbClr r="0" g="0" b="0"/>
                        </a:effectRef>
                        <a:fontRef idx="major"/>
                      </wps:style>
                      <wps:txbx>
                        <w:txbxContent>
                          <w:p w14:paraId="0FCBDBD0" w14:textId="23FD0DB0" w:rsidR="00BB3453" w:rsidRPr="006A5E47" w:rsidRDefault="00BB3453" w:rsidP="00C21E9E">
                            <w:pPr>
                              <w:spacing w:before="360" w:after="360" w:line="240" w:lineRule="auto"/>
                              <w:rPr>
                                <w:rFonts w:eastAsiaTheme="majorEastAsia" w:cs="Segoe UI"/>
                                <w:color w:val="ADD2D7" w:themeColor="accent1"/>
                                <w:sz w:val="32"/>
                                <w:szCs w:val="32"/>
                              </w:rPr>
                            </w:pPr>
                            <w:r w:rsidRPr="006A5E47">
                              <w:rPr>
                                <w:rFonts w:eastAsiaTheme="majorEastAsia" w:cs="Segoe UI"/>
                                <w:color w:val="ADD2D7" w:themeColor="accent1"/>
                                <w:sz w:val="32"/>
                                <w:szCs w:val="32"/>
                              </w:rPr>
                              <w:t>A brief introduction to Niger</w:t>
                            </w:r>
                          </w:p>
                          <w:p w14:paraId="563F3DB0" w14:textId="456E81D7" w:rsidR="00BB3453" w:rsidRDefault="00BB3453" w:rsidP="00AA1EDB">
                            <w:pPr>
                              <w:jc w:val="both"/>
                              <w:rPr>
                                <w:color w:val="366092" w:themeColor="text2"/>
                                <w:sz w:val="20"/>
                                <w:szCs w:val="20"/>
                              </w:rPr>
                            </w:pPr>
                            <w:r w:rsidRPr="00186CF7">
                              <w:rPr>
                                <w:color w:val="366092" w:themeColor="text2"/>
                                <w:sz w:val="20"/>
                                <w:szCs w:val="20"/>
                              </w:rPr>
                              <w:t xml:space="preserve">Niger is divided into 8 regions, 63 departments and 266 communes. In 2015, Niger’s population was estimated to be 19.9 million people with approximately 82% classified as rural and residing along the River Niger basin and the southern border with Nigeria. In the same year, the national average population density was at 15.7 inhabitants per square kilometer, less than half the African average. </w:t>
                            </w:r>
                            <w:r w:rsidRPr="00E50990">
                              <w:rPr>
                                <w:color w:val="366092" w:themeColor="text2"/>
                                <w:sz w:val="20"/>
                                <w:szCs w:val="20"/>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405"/>
                            </w:tblGrid>
                            <w:tr w:rsidR="00BB3453" w14:paraId="1E6B3D58" w14:textId="77777777" w:rsidTr="00C00769">
                              <w:trPr>
                                <w:trHeight w:val="2501"/>
                              </w:trPr>
                              <w:tc>
                                <w:tcPr>
                                  <w:tcW w:w="4320" w:type="dxa"/>
                                </w:tcPr>
                                <w:p w14:paraId="4FC68923" w14:textId="77777777" w:rsidR="00BB3453" w:rsidRDefault="00BB3453" w:rsidP="00E50990">
                                  <w:pPr>
                                    <w:jc w:val="both"/>
                                    <w:rPr>
                                      <w:color w:val="366092" w:themeColor="text2"/>
                                      <w:sz w:val="20"/>
                                      <w:szCs w:val="20"/>
                                    </w:rPr>
                                  </w:pPr>
                                </w:p>
                                <w:p w14:paraId="691AB653" w14:textId="4BB2B979" w:rsidR="00BB3453" w:rsidRDefault="00BB3453" w:rsidP="002C6037">
                                  <w:pPr>
                                    <w:ind w:left="-116"/>
                                    <w:jc w:val="center"/>
                                    <w:rPr>
                                      <w:noProof/>
                                    </w:rPr>
                                  </w:pPr>
                                  <w:r w:rsidRPr="002C6037">
                                    <w:rPr>
                                      <w:noProof/>
                                    </w:rPr>
                                    <w:drawing>
                                      <wp:inline distT="0" distB="0" distL="0" distR="0" wp14:anchorId="7F57E72D" wp14:editId="6A4CB35D">
                                        <wp:extent cx="1866900" cy="183872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287" cy="1841071"/>
                                                </a:xfrm>
                                                <a:prstGeom prst="rect">
                                                  <a:avLst/>
                                                </a:prstGeom>
                                                <a:noFill/>
                                                <a:ln>
                                                  <a:noFill/>
                                                </a:ln>
                                              </pic:spPr>
                                            </pic:pic>
                                          </a:graphicData>
                                        </a:graphic>
                                      </wp:inline>
                                    </w:drawing>
                                  </w:r>
                                </w:p>
                                <w:p w14:paraId="12919547" w14:textId="77777777" w:rsidR="00BB3453" w:rsidRDefault="00BB3453" w:rsidP="00FC35BC">
                                  <w:pPr>
                                    <w:ind w:left="-116"/>
                                    <w:jc w:val="both"/>
                                    <w:rPr>
                                      <w:noProof/>
                                    </w:rPr>
                                  </w:pPr>
                                </w:p>
                                <w:p w14:paraId="46C3BBFE" w14:textId="24A61573" w:rsidR="00BB3453" w:rsidRDefault="00BB3453" w:rsidP="00C00769">
                                  <w:pPr>
                                    <w:ind w:left="-116"/>
                                    <w:jc w:val="center"/>
                                    <w:rPr>
                                      <w:color w:val="366092" w:themeColor="text2"/>
                                      <w:sz w:val="20"/>
                                      <w:szCs w:val="20"/>
                                    </w:rPr>
                                  </w:pPr>
                                  <w:r>
                                    <w:rPr>
                                      <w:noProof/>
                                    </w:rPr>
                                    <w:drawing>
                                      <wp:inline distT="0" distB="0" distL="0" distR="0" wp14:anchorId="658EDD02" wp14:editId="34C17975">
                                        <wp:extent cx="2487168" cy="23774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7168" cy="2377440"/>
                                                </a:xfrm>
                                                <a:prstGeom prst="rect">
                                                  <a:avLst/>
                                                </a:prstGeom>
                                              </pic:spPr>
                                            </pic:pic>
                                          </a:graphicData>
                                        </a:graphic>
                                      </wp:inline>
                                    </w:drawing>
                                  </w:r>
                                </w:p>
                              </w:tc>
                              <w:tc>
                                <w:tcPr>
                                  <w:tcW w:w="4405" w:type="dxa"/>
                                </w:tcPr>
                                <w:p w14:paraId="17CF5FEF" w14:textId="77777777" w:rsidR="00BB3453" w:rsidRPr="00186CF7" w:rsidRDefault="00BB3453" w:rsidP="00186CF7">
                                  <w:pPr>
                                    <w:jc w:val="both"/>
                                    <w:rPr>
                                      <w:color w:val="366092" w:themeColor="text2"/>
                                      <w:sz w:val="20"/>
                                      <w:szCs w:val="20"/>
                                    </w:rPr>
                                  </w:pPr>
                                  <w:r w:rsidRPr="00186CF7">
                                    <w:rPr>
                                      <w:color w:val="366092" w:themeColor="text2"/>
                                      <w:sz w:val="20"/>
                                      <w:szCs w:val="20"/>
                                    </w:rPr>
                                    <w:t>Niger’s economy largely depends on agriculture and services. In 2015, GDP (constant 2011 US$) was recorded at US$ 17.8 billion with the livestock and agriculture sector accounting for 36% and employing more than half of the total population. The mining sector, while politically significant, accounts for only 0.6% of GDP.</w:t>
                                  </w:r>
                                </w:p>
                                <w:p w14:paraId="09A016F7" w14:textId="77777777" w:rsidR="00BB3453" w:rsidRPr="00186CF7" w:rsidRDefault="00BB3453" w:rsidP="00186CF7">
                                  <w:pPr>
                                    <w:jc w:val="both"/>
                                    <w:rPr>
                                      <w:color w:val="366092" w:themeColor="text2"/>
                                      <w:sz w:val="20"/>
                                      <w:szCs w:val="20"/>
                                    </w:rPr>
                                  </w:pPr>
                                </w:p>
                                <w:p w14:paraId="5D9DAB9D" w14:textId="77777777" w:rsidR="00BB3453" w:rsidRPr="00186CF7" w:rsidRDefault="00BB3453" w:rsidP="00186CF7">
                                  <w:pPr>
                                    <w:jc w:val="both"/>
                                    <w:rPr>
                                      <w:color w:val="366092" w:themeColor="text2"/>
                                      <w:sz w:val="20"/>
                                      <w:szCs w:val="20"/>
                                    </w:rPr>
                                  </w:pPr>
                                  <w:r w:rsidRPr="00186CF7">
                                    <w:rPr>
                                      <w:color w:val="366092" w:themeColor="text2"/>
                                      <w:sz w:val="20"/>
                                      <w:szCs w:val="20"/>
                                    </w:rPr>
                                    <w:t>Poverty is widespread with around 75% of the population living on an income below $3.10 a day, and 50% living below $1.90 a day; around 90% of the poor live in rural areas. Niger remains one of the poorest countries in the world, ranking last in the 2014 Human Development Index (HDI) of the United Nations Development Program. A significant share of the population survives on subsistence farming, which is becoming increasingly challenging due to declining and erratic rainfall and a concomitant reduction in arable land area.</w:t>
                                  </w:r>
                                </w:p>
                                <w:p w14:paraId="04CD947C" w14:textId="77777777" w:rsidR="00BB3453" w:rsidRPr="00186CF7" w:rsidRDefault="00BB3453" w:rsidP="00186CF7">
                                  <w:pPr>
                                    <w:jc w:val="both"/>
                                    <w:rPr>
                                      <w:color w:val="366092" w:themeColor="text2"/>
                                      <w:sz w:val="20"/>
                                      <w:szCs w:val="20"/>
                                    </w:rPr>
                                  </w:pPr>
                                </w:p>
                                <w:p w14:paraId="7444C8EB" w14:textId="5DC6027B" w:rsidR="00BB3453" w:rsidRDefault="00BB3453" w:rsidP="00186CF7">
                                  <w:pPr>
                                    <w:jc w:val="both"/>
                                    <w:rPr>
                                      <w:color w:val="366092" w:themeColor="text2"/>
                                      <w:sz w:val="20"/>
                                      <w:szCs w:val="20"/>
                                    </w:rPr>
                                  </w:pPr>
                                  <w:r w:rsidRPr="00186CF7">
                                    <w:rPr>
                                      <w:color w:val="366092" w:themeColor="text2"/>
                                      <w:sz w:val="20"/>
                                      <w:szCs w:val="20"/>
                                    </w:rPr>
                                    <w:t>Niger shares the West African CFA Franc with 7 other West African states. The currency averaged at 591 CFA Franc for one US$ in 2015 with a high of 624 CFA Franc and a low of 542 CFA Franc in the same period while inflation during the same period was low at 1%.</w:t>
                                  </w:r>
                                </w:p>
                                <w:p w14:paraId="65169278" w14:textId="77777777" w:rsidR="00BB3453" w:rsidRDefault="00BB3453" w:rsidP="00FC35BC">
                                  <w:pPr>
                                    <w:jc w:val="both"/>
                                    <w:rPr>
                                      <w:color w:val="366092" w:themeColor="text2"/>
                                      <w:sz w:val="20"/>
                                      <w:szCs w:val="20"/>
                                    </w:rPr>
                                  </w:pPr>
                                </w:p>
                                <w:p w14:paraId="5E0FC7A7" w14:textId="56D5D9EF" w:rsidR="00BB3453" w:rsidRDefault="00BB3453" w:rsidP="00FC35BC">
                                  <w:pPr>
                                    <w:jc w:val="both"/>
                                    <w:rPr>
                                      <w:color w:val="366092" w:themeColor="text2"/>
                                      <w:sz w:val="20"/>
                                      <w:szCs w:val="20"/>
                                    </w:rPr>
                                  </w:pPr>
                                </w:p>
                              </w:tc>
                            </w:tr>
                          </w:tbl>
                          <w:p w14:paraId="6ED32035" w14:textId="52649983" w:rsidR="00BB3453" w:rsidRPr="00280289" w:rsidRDefault="00BB3453" w:rsidP="002C6037">
                            <w:pPr>
                              <w:spacing w:after="0"/>
                              <w:rPr>
                                <w:i/>
                                <w:color w:val="366092" w:themeColor="text2"/>
                                <w:sz w:val="18"/>
                                <w:szCs w:val="18"/>
                              </w:rPr>
                            </w:pPr>
                            <w:r w:rsidRPr="00280289">
                              <w:rPr>
                                <w:i/>
                                <w:color w:val="366092" w:themeColor="text2"/>
                                <w:sz w:val="18"/>
                                <w:szCs w:val="18"/>
                              </w:rPr>
                              <w:t>Source: World Bank, World Development Indicators; World Bank: “Niger Overview,” (April 13, 2016); United Nations Department of Economic and Social Affairs</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050F00" id="_x0000_s1027" style="position:absolute;margin-left:415.3pt;margin-top:17.65pt;width:466.5pt;height:599.75pt;z-index:251676672;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" o:allowoverlap="f" fillcolor="#e6f1f3 [661]" strokecolor="#7f7f7f [1614]" strokeweight="1.25pt">
                <v:stroke opacity="59624f"/>
                <v:textbox inset="14.4pt,7.2pt,14.4pt,7.2pt">
                  <w:txbxContent>
                    <w:p w14:paraId="0FCBDBD0" w14:textId="23FD0DB0" w:rsidR="00BB3453" w:rsidRPr="006A5E47" w:rsidRDefault="00BB3453" w:rsidP="00C21E9E">
                      <w:pPr>
                        <w:spacing w:before="360" w:after="360" w:line="240" w:lineRule="auto"/>
                        <w:rPr>
                          <w:rFonts w:eastAsiaTheme="majorEastAsia" w:cs="Segoe UI"/>
                          <w:color w:val="ADD2D7" w:themeColor="accent1"/>
                          <w:sz w:val="32"/>
                          <w:szCs w:val="32"/>
                        </w:rPr>
                      </w:pPr>
                      <w:r w:rsidRPr="006A5E47">
                        <w:rPr>
                          <w:rFonts w:eastAsiaTheme="majorEastAsia" w:cs="Segoe UI"/>
                          <w:color w:val="ADD2D7" w:themeColor="accent1"/>
                          <w:sz w:val="32"/>
                          <w:szCs w:val="32"/>
                        </w:rPr>
                        <w:t>A brief introduction to Niger</w:t>
                      </w:r>
                    </w:p>
                    <w:p w14:paraId="563F3DB0" w14:textId="456E81D7" w:rsidR="00BB3453" w:rsidRDefault="00BB3453" w:rsidP="00AA1EDB">
                      <w:pPr>
                        <w:jc w:val="both"/>
                        <w:rPr>
                          <w:color w:val="366092" w:themeColor="text2"/>
                          <w:sz w:val="20"/>
                          <w:szCs w:val="20"/>
                        </w:rPr>
                      </w:pPr>
                      <w:r w:rsidRPr="00186CF7">
                        <w:rPr>
                          <w:color w:val="366092" w:themeColor="text2"/>
                          <w:sz w:val="20"/>
                          <w:szCs w:val="20"/>
                        </w:rPr>
                        <w:t xml:space="preserve">Niger is divided into 8 regions, 63 departments and 266 communes. In 2015, Niger’s population was estimated to be 19.9 million people with approximately 82% classified as rural and residing along the River Niger basin and the southern border with Nigeria. In the same year, the national average population density was at 15.7 inhabitants per square kilometer, less than half the African average. </w:t>
                      </w:r>
                      <w:r w:rsidRPr="00E50990">
                        <w:rPr>
                          <w:color w:val="366092" w:themeColor="text2"/>
                          <w:sz w:val="20"/>
                          <w:szCs w:val="20"/>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405"/>
                      </w:tblGrid>
                      <w:tr w:rsidR="00BB3453" w14:paraId="1E6B3D58" w14:textId="77777777" w:rsidTr="00C00769">
                        <w:trPr>
                          <w:trHeight w:val="2501"/>
                        </w:trPr>
                        <w:tc>
                          <w:tcPr>
                            <w:tcW w:w="4320" w:type="dxa"/>
                          </w:tcPr>
                          <w:p w14:paraId="4FC68923" w14:textId="77777777" w:rsidR="00BB3453" w:rsidRDefault="00BB3453" w:rsidP="00E50990">
                            <w:pPr>
                              <w:jc w:val="both"/>
                              <w:rPr>
                                <w:color w:val="366092" w:themeColor="text2"/>
                                <w:sz w:val="20"/>
                                <w:szCs w:val="20"/>
                              </w:rPr>
                            </w:pPr>
                          </w:p>
                          <w:p w14:paraId="691AB653" w14:textId="4BB2B979" w:rsidR="00BB3453" w:rsidRDefault="00BB3453" w:rsidP="002C6037">
                            <w:pPr>
                              <w:ind w:left="-116"/>
                              <w:jc w:val="center"/>
                              <w:rPr>
                                <w:noProof/>
                              </w:rPr>
                            </w:pPr>
                            <w:r w:rsidRPr="002C6037">
                              <w:rPr>
                                <w:noProof/>
                              </w:rPr>
                              <w:drawing>
                                <wp:inline distT="0" distB="0" distL="0" distR="0" wp14:anchorId="7F57E72D" wp14:editId="6A4CB35D">
                                  <wp:extent cx="1866900" cy="183872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287" cy="1841071"/>
                                          </a:xfrm>
                                          <a:prstGeom prst="rect">
                                            <a:avLst/>
                                          </a:prstGeom>
                                          <a:noFill/>
                                          <a:ln>
                                            <a:noFill/>
                                          </a:ln>
                                        </pic:spPr>
                                      </pic:pic>
                                    </a:graphicData>
                                  </a:graphic>
                                </wp:inline>
                              </w:drawing>
                            </w:r>
                          </w:p>
                          <w:p w14:paraId="12919547" w14:textId="77777777" w:rsidR="00BB3453" w:rsidRDefault="00BB3453" w:rsidP="00FC35BC">
                            <w:pPr>
                              <w:ind w:left="-116"/>
                              <w:jc w:val="both"/>
                              <w:rPr>
                                <w:noProof/>
                              </w:rPr>
                            </w:pPr>
                          </w:p>
                          <w:p w14:paraId="46C3BBFE" w14:textId="24A61573" w:rsidR="00BB3453" w:rsidRDefault="00BB3453" w:rsidP="00C00769">
                            <w:pPr>
                              <w:ind w:left="-116"/>
                              <w:jc w:val="center"/>
                              <w:rPr>
                                <w:color w:val="366092" w:themeColor="text2"/>
                                <w:sz w:val="20"/>
                                <w:szCs w:val="20"/>
                              </w:rPr>
                            </w:pPr>
                            <w:r>
                              <w:rPr>
                                <w:noProof/>
                              </w:rPr>
                              <w:drawing>
                                <wp:inline distT="0" distB="0" distL="0" distR="0" wp14:anchorId="658EDD02" wp14:editId="34C17975">
                                  <wp:extent cx="2487168" cy="23774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7168" cy="2377440"/>
                                          </a:xfrm>
                                          <a:prstGeom prst="rect">
                                            <a:avLst/>
                                          </a:prstGeom>
                                        </pic:spPr>
                                      </pic:pic>
                                    </a:graphicData>
                                  </a:graphic>
                                </wp:inline>
                              </w:drawing>
                            </w:r>
                          </w:p>
                        </w:tc>
                        <w:tc>
                          <w:tcPr>
                            <w:tcW w:w="4405" w:type="dxa"/>
                          </w:tcPr>
                          <w:p w14:paraId="17CF5FEF" w14:textId="77777777" w:rsidR="00BB3453" w:rsidRPr="00186CF7" w:rsidRDefault="00BB3453" w:rsidP="00186CF7">
                            <w:pPr>
                              <w:jc w:val="both"/>
                              <w:rPr>
                                <w:color w:val="366092" w:themeColor="text2"/>
                                <w:sz w:val="20"/>
                                <w:szCs w:val="20"/>
                              </w:rPr>
                            </w:pPr>
                            <w:r w:rsidRPr="00186CF7">
                              <w:rPr>
                                <w:color w:val="366092" w:themeColor="text2"/>
                                <w:sz w:val="20"/>
                                <w:szCs w:val="20"/>
                              </w:rPr>
                              <w:t>Niger’s economy largely depends on agriculture and services. In 2015, GDP (constant 2011 US$) was recorded at US$ 17.8 billion with the livestock and agriculture sector accounting for 36% and employing more than half of the total population. The mining sector, while politically significant, accounts for only 0.6% of GDP.</w:t>
                            </w:r>
                          </w:p>
                          <w:p w14:paraId="09A016F7" w14:textId="77777777" w:rsidR="00BB3453" w:rsidRPr="00186CF7" w:rsidRDefault="00BB3453" w:rsidP="00186CF7">
                            <w:pPr>
                              <w:jc w:val="both"/>
                              <w:rPr>
                                <w:color w:val="366092" w:themeColor="text2"/>
                                <w:sz w:val="20"/>
                                <w:szCs w:val="20"/>
                              </w:rPr>
                            </w:pPr>
                          </w:p>
                          <w:p w14:paraId="5D9DAB9D" w14:textId="77777777" w:rsidR="00BB3453" w:rsidRPr="00186CF7" w:rsidRDefault="00BB3453" w:rsidP="00186CF7">
                            <w:pPr>
                              <w:jc w:val="both"/>
                              <w:rPr>
                                <w:color w:val="366092" w:themeColor="text2"/>
                                <w:sz w:val="20"/>
                                <w:szCs w:val="20"/>
                              </w:rPr>
                            </w:pPr>
                            <w:r w:rsidRPr="00186CF7">
                              <w:rPr>
                                <w:color w:val="366092" w:themeColor="text2"/>
                                <w:sz w:val="20"/>
                                <w:szCs w:val="20"/>
                              </w:rPr>
                              <w:t>Poverty is widespread with around 75% of the population living on an income below $3.10 a day, and 50% living below $1.90 a day; around 90% of the poor live in rural areas. Niger remains one of the poorest countries in the world, ranking last in the 2014 Human Development Index (HDI) of the United Nations Development Program. A significant share of the population survives on subsistence farming, which is becoming increasingly challenging due to declining and erratic rainfall and a concomitant reduction in arable land area.</w:t>
                            </w:r>
                          </w:p>
                          <w:p w14:paraId="04CD947C" w14:textId="77777777" w:rsidR="00BB3453" w:rsidRPr="00186CF7" w:rsidRDefault="00BB3453" w:rsidP="00186CF7">
                            <w:pPr>
                              <w:jc w:val="both"/>
                              <w:rPr>
                                <w:color w:val="366092" w:themeColor="text2"/>
                                <w:sz w:val="20"/>
                                <w:szCs w:val="20"/>
                              </w:rPr>
                            </w:pPr>
                          </w:p>
                          <w:p w14:paraId="7444C8EB" w14:textId="5DC6027B" w:rsidR="00BB3453" w:rsidRDefault="00BB3453" w:rsidP="00186CF7">
                            <w:pPr>
                              <w:jc w:val="both"/>
                              <w:rPr>
                                <w:color w:val="366092" w:themeColor="text2"/>
                                <w:sz w:val="20"/>
                                <w:szCs w:val="20"/>
                              </w:rPr>
                            </w:pPr>
                            <w:r w:rsidRPr="00186CF7">
                              <w:rPr>
                                <w:color w:val="366092" w:themeColor="text2"/>
                                <w:sz w:val="20"/>
                                <w:szCs w:val="20"/>
                              </w:rPr>
                              <w:t>Niger shares the West African CFA Franc with 7 other West African states. The currency averaged at 591 CFA Franc for one US$ in 2015 with a high of 624 CFA Franc and a low of 542 CFA Franc in the same period while inflation during the same period was low at 1%.</w:t>
                            </w:r>
                          </w:p>
                          <w:p w14:paraId="65169278" w14:textId="77777777" w:rsidR="00BB3453" w:rsidRDefault="00BB3453" w:rsidP="00FC35BC">
                            <w:pPr>
                              <w:jc w:val="both"/>
                              <w:rPr>
                                <w:color w:val="366092" w:themeColor="text2"/>
                                <w:sz w:val="20"/>
                                <w:szCs w:val="20"/>
                              </w:rPr>
                            </w:pPr>
                          </w:p>
                          <w:p w14:paraId="5E0FC7A7" w14:textId="56D5D9EF" w:rsidR="00BB3453" w:rsidRDefault="00BB3453" w:rsidP="00FC35BC">
                            <w:pPr>
                              <w:jc w:val="both"/>
                              <w:rPr>
                                <w:color w:val="366092" w:themeColor="text2"/>
                                <w:sz w:val="20"/>
                                <w:szCs w:val="20"/>
                              </w:rPr>
                            </w:pPr>
                          </w:p>
                        </w:tc>
                      </w:tr>
                    </w:tbl>
                    <w:p w14:paraId="6ED32035" w14:textId="52649983" w:rsidR="00BB3453" w:rsidRPr="00280289" w:rsidRDefault="00BB3453" w:rsidP="002C6037">
                      <w:pPr>
                        <w:spacing w:after="0"/>
                        <w:rPr>
                          <w:i/>
                          <w:color w:val="366092" w:themeColor="text2"/>
                          <w:sz w:val="18"/>
                          <w:szCs w:val="18"/>
                        </w:rPr>
                      </w:pPr>
                      <w:r w:rsidRPr="00280289">
                        <w:rPr>
                          <w:i/>
                          <w:color w:val="366092" w:themeColor="text2"/>
                          <w:sz w:val="18"/>
                          <w:szCs w:val="18"/>
                        </w:rPr>
                        <w:t>Source: World Bank, World Development Indicators; World Bank: “Niger Overview,” (April 13, 2016); United Nations Department of Economic and Social Affairs</w:t>
                      </w:r>
                    </w:p>
                  </w:txbxContent>
                </v:textbox>
                <w10:wrap type="square" anchorx="margin"/>
              </v:rect>
            </w:pict>
          </mc:Fallback>
        </mc:AlternateContent>
      </w:r>
      <w:r>
        <w:rPr>
          <w:noProof/>
        </w:rPr>
        <mc:AlternateContent>
          <mc:Choice Requires="wps">
            <w:drawing>
              <wp:anchor distT="0" distB="0" distL="114300" distR="114300" simplePos="0" relativeHeight="251678720" behindDoc="0" locked="0" layoutInCell="1" allowOverlap="1" wp14:anchorId="2E4A2395" wp14:editId="0F8F2CC7">
                <wp:simplePos x="0" y="0"/>
                <wp:positionH relativeFrom="margin">
                  <wp:align>left</wp:align>
                </wp:positionH>
                <wp:positionV relativeFrom="paragraph">
                  <wp:posOffset>0</wp:posOffset>
                </wp:positionV>
                <wp:extent cx="5924550" cy="21526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24550" cy="215265"/>
                        </a:xfrm>
                        <a:prstGeom prst="rect">
                          <a:avLst/>
                        </a:prstGeom>
                        <a:solidFill>
                          <a:prstClr val="white"/>
                        </a:solidFill>
                        <a:ln>
                          <a:noFill/>
                        </a:ln>
                      </wps:spPr>
                      <wps:txbx>
                        <w:txbxContent>
                          <w:p w14:paraId="46436E28" w14:textId="691970FE" w:rsidR="00BB3453" w:rsidRPr="00254807" w:rsidRDefault="00BB3453" w:rsidP="0099462C">
                            <w:pPr>
                              <w:pStyle w:val="Caption"/>
                              <w:rPr>
                                <w:rFonts w:cs="Segoe UI"/>
                                <w:noProof/>
                              </w:rPr>
                            </w:pPr>
                            <w:bookmarkStart w:id="15" w:name="_Toc500969340"/>
                            <w:r>
                              <w:t xml:space="preserve">Figure </w:t>
                            </w:r>
                            <w:fldSimple w:instr=" SEQ Figure \* ARABIC ">
                              <w:r>
                                <w:rPr>
                                  <w:noProof/>
                                </w:rPr>
                                <w:t>3</w:t>
                              </w:r>
                            </w:fldSimple>
                            <w:r>
                              <w:t>: Brief country introduction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A2395" id="Text Box 13" o:spid="_x0000_s1028" type="#_x0000_t202" style="position:absolute;margin-left:0;margin-top:0;width:466.5pt;height:16.9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" stroked="f">
                <v:textbox inset="0,0,0,0">
                  <w:txbxContent>
                    <w:p w14:paraId="46436E28" w14:textId="691970FE" w:rsidR="00BB3453" w:rsidRPr="00254807" w:rsidRDefault="00BB3453" w:rsidP="0099462C">
                      <w:pPr>
                        <w:pStyle w:val="Caption"/>
                        <w:rPr>
                          <w:rFonts w:cs="Segoe UI"/>
                          <w:noProof/>
                        </w:rPr>
                      </w:pPr>
                      <w:bookmarkStart w:id="16" w:name="_Toc500969340"/>
                      <w:r>
                        <w:t xml:space="preserve">Figure </w:t>
                      </w:r>
                      <w:fldSimple w:instr=" SEQ Figure \* ARABIC ">
                        <w:r>
                          <w:rPr>
                            <w:noProof/>
                          </w:rPr>
                          <w:t>3</w:t>
                        </w:r>
                      </w:fldSimple>
                      <w:r>
                        <w:t>: Brief country introduction</w:t>
                      </w:r>
                      <w:bookmarkEnd w:id="16"/>
                    </w:p>
                  </w:txbxContent>
                </v:textbox>
                <w10:wrap type="square" anchorx="margin"/>
              </v:shape>
            </w:pict>
          </mc:Fallback>
        </mc:AlternateContent>
      </w:r>
    </w:p>
    <w:p w14:paraId="3F8F419B" w14:textId="5F97E8B8" w:rsidR="000A1C8B" w:rsidRPr="00C75CB5" w:rsidRDefault="000A1C8B" w:rsidP="00C75CB5">
      <w:pPr>
        <w:pStyle w:val="H2NEWreportStyle"/>
      </w:pPr>
      <w:bookmarkStart w:id="16" w:name="_Toc501097026"/>
      <w:r w:rsidRPr="00C75CB5">
        <w:lastRenderedPageBreak/>
        <w:t>Generation &amp; consumption</w:t>
      </w:r>
      <w:bookmarkEnd w:id="16"/>
    </w:p>
    <w:p w14:paraId="04C38269" w14:textId="318BF5B4" w:rsidR="00E96114" w:rsidRDefault="00025A2E" w:rsidP="00E96114">
      <w:pPr>
        <w:jc w:val="both"/>
        <w:rPr>
          <w:rFonts w:cs="Segoe UI"/>
        </w:rPr>
      </w:pPr>
      <w:r>
        <w:rPr>
          <w:noProof/>
        </w:rPr>
        <mc:AlternateContent>
          <mc:Choice Requires="wps">
            <w:drawing>
              <wp:anchor distT="0" distB="0" distL="114300" distR="114300" simplePos="0" relativeHeight="251750400" behindDoc="0" locked="0" layoutInCell="1" allowOverlap="1" wp14:anchorId="07AB78F0" wp14:editId="67D18099">
                <wp:simplePos x="0" y="0"/>
                <wp:positionH relativeFrom="column">
                  <wp:posOffset>2533650</wp:posOffset>
                </wp:positionH>
                <wp:positionV relativeFrom="paragraph">
                  <wp:posOffset>2896235</wp:posOffset>
                </wp:positionV>
                <wp:extent cx="3044825" cy="3015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044825" cy="301595"/>
                        </a:xfrm>
                        <a:prstGeom prst="rect">
                          <a:avLst/>
                        </a:prstGeom>
                        <a:solidFill>
                          <a:prstClr val="white"/>
                        </a:solidFill>
                        <a:ln>
                          <a:noFill/>
                        </a:ln>
                      </wps:spPr>
                      <wps:txbx>
                        <w:txbxContent>
                          <w:p w14:paraId="7C1F6730" w14:textId="77777777" w:rsidR="00BB3453" w:rsidRPr="009C0ECE" w:rsidRDefault="00BB3453" w:rsidP="00025A2E">
                            <w:pPr>
                              <w:pStyle w:val="Caption"/>
                              <w:rPr>
                                <w:rFonts w:cs="Segoe UI"/>
                                <w:b w:val="0"/>
                                <w:i/>
                                <w:noProof/>
                                <w:color w:val="auto"/>
                              </w:rPr>
                            </w:pPr>
                            <w:r w:rsidRPr="009C0ECE">
                              <w:rPr>
                                <w:b w:val="0"/>
                                <w:i/>
                                <w:color w:val="auto"/>
                              </w:rPr>
                              <w:t>Source: Niger Renewable Readiness Assessment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AB78F0" id="Text Box 50" o:spid="_x0000_s1029" type="#_x0000_t202" style="position:absolute;left:0;text-align:left;margin-left:199.5pt;margin-top:228.05pt;width:239.75pt;height:23.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" stroked="f">
                <v:textbox inset="0,0,0,0">
                  <w:txbxContent>
                    <w:p w14:paraId="7C1F6730" w14:textId="77777777" w:rsidR="00BB3453" w:rsidRPr="009C0ECE" w:rsidRDefault="00BB3453" w:rsidP="00025A2E">
                      <w:pPr>
                        <w:pStyle w:val="Caption"/>
                        <w:rPr>
                          <w:rFonts w:cs="Segoe UI"/>
                          <w:b w:val="0"/>
                          <w:i/>
                          <w:noProof/>
                          <w:color w:val="auto"/>
                        </w:rPr>
                      </w:pPr>
                      <w:r w:rsidRPr="009C0ECE">
                        <w:rPr>
                          <w:b w:val="0"/>
                          <w:i/>
                          <w:color w:val="auto"/>
                        </w:rPr>
                        <w:t>Source: Niger Renewable Readiness Assessment (2013)</w:t>
                      </w:r>
                    </w:p>
                  </w:txbxContent>
                </v:textbox>
              </v:shape>
            </w:pict>
          </mc:Fallback>
        </mc:AlternateContent>
      </w:r>
      <w:r w:rsidR="00E96114">
        <w:rPr>
          <w:rFonts w:cs="Segoe UI"/>
          <w:noProof/>
        </w:rPr>
        <mc:AlternateContent>
          <mc:Choice Requires="wpg">
            <w:drawing>
              <wp:anchor distT="91440" distB="0" distL="182880" distR="114300" simplePos="0" relativeHeight="251725824" behindDoc="0" locked="0" layoutInCell="1" allowOverlap="1" wp14:anchorId="6A8F4FD9" wp14:editId="16F7363D">
                <wp:simplePos x="0" y="0"/>
                <wp:positionH relativeFrom="margin">
                  <wp:align>right</wp:align>
                </wp:positionH>
                <wp:positionV relativeFrom="paragraph">
                  <wp:posOffset>577850</wp:posOffset>
                </wp:positionV>
                <wp:extent cx="3571240" cy="249301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3571240" cy="2493010"/>
                          <a:chOff x="0" y="0"/>
                          <a:chExt cx="4166870" cy="3023474"/>
                        </a:xfrm>
                      </wpg:grpSpPr>
                      <wps:wsp>
                        <wps:cNvPr id="46" name="Text Box 46"/>
                        <wps:cNvSpPr txBox="1"/>
                        <wps:spPr>
                          <a:xfrm>
                            <a:off x="77638" y="0"/>
                            <a:ext cx="3510915" cy="325755"/>
                          </a:xfrm>
                          <a:prstGeom prst="rect">
                            <a:avLst/>
                          </a:prstGeom>
                          <a:solidFill>
                            <a:prstClr val="white"/>
                          </a:solidFill>
                          <a:ln>
                            <a:noFill/>
                          </a:ln>
                        </wps:spPr>
                        <wps:txbx>
                          <w:txbxContent>
                            <w:p w14:paraId="0E464C6A" w14:textId="1C459F05" w:rsidR="00BB3453" w:rsidRPr="00C96FF6" w:rsidRDefault="00BB3453" w:rsidP="0099462C">
                              <w:pPr>
                                <w:pStyle w:val="Caption"/>
                              </w:pPr>
                              <w:bookmarkStart w:id="17" w:name="_Ref464100888"/>
                              <w:bookmarkStart w:id="18" w:name="_Toc475007371"/>
                              <w:bookmarkStart w:id="19" w:name="_Toc476298048"/>
                              <w:bookmarkStart w:id="20" w:name="_Toc500969341"/>
                              <w:r w:rsidRPr="00C96FF6">
                                <w:t xml:space="preserve">Figure </w:t>
                              </w:r>
                              <w:fldSimple w:instr=" SEQ Figure \* ARABIC ">
                                <w:r>
                                  <w:rPr>
                                    <w:noProof/>
                                  </w:rPr>
                                  <w:t>4</w:t>
                                </w:r>
                              </w:fldSimple>
                              <w:bookmarkEnd w:id="17"/>
                              <w:r w:rsidRPr="00C96FF6">
                                <w:t>: Energy production in Niger</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41539"/>
                            <a:ext cx="4166870" cy="27819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A8F4FD9" id="Group 14" o:spid="_x0000_s1030" style="position:absolute;left:0;text-align:left;margin-left:230pt;margin-top:45.5pt;width:281.2pt;height:196.3pt;z-index:251725824;mso-wrap-distance-left:14.4pt;mso-wrap-distance-top:7.2pt;mso-position-horizontal:right;mso-position-horizontal-relative:margin;mso-width-relative:margin;mso-height-relative:margin" coordsize="4166870,30234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">
                <v:shapetype id="_x0000_t202" coordsize="21600,21600" o:spt="202" path="m0,0l0,21600,21600,21600,21600,0xe">
                  <v:stroke joinstyle="miter"/>
                  <v:path gradientshapeok="t" o:connecttype="rect"/>
                </v:shapetype>
                <v:shape id="Text Box 46" o:spid="_x0000_s1031" type="#_x0000_t202" style="position:absolute;left:77638;width:3510915;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MasxQAA&#10;ANsAAAAPAAAAZHJzL2Rvd25yZXYueG1sRI/NasMwEITvhbyD2EAupZEbi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0xqzFAAAA2wAAAA8AAAAAAAAAAAAAAAAAlwIAAGRycy9k&#10;b3ducmV2LnhtbFBLBQYAAAAABAAEAPUAAACJAwAAAAA=&#10;" stroked="f">
                  <v:textbox inset="0,0,0,0">
                    <w:txbxContent>
                      <w:p w14:paraId="0E464C6A" w14:textId="1C459F05" w:rsidR="00BB3453" w:rsidRPr="00C96FF6" w:rsidRDefault="00BB3453" w:rsidP="0099462C">
                        <w:pPr>
                          <w:pStyle w:val="Caption"/>
                        </w:pPr>
                        <w:bookmarkStart w:id="20" w:name="_Ref464100888"/>
                        <w:bookmarkStart w:id="21" w:name="_Toc475007371"/>
                        <w:bookmarkStart w:id="22" w:name="_Toc476298048"/>
                        <w:bookmarkStart w:id="23" w:name="_Toc500969341"/>
                        <w:r w:rsidRPr="00C96FF6">
                          <w:t xml:space="preserve">Figure </w:t>
                        </w:r>
                        <w:r w:rsidR="0000473A">
                          <w:fldChar w:fldCharType="begin"/>
                        </w:r>
                        <w:r w:rsidR="0000473A">
                          <w:instrText xml:space="preserve"> SEQ Figure \* ARABIC </w:instrText>
                        </w:r>
                        <w:r w:rsidR="0000473A">
                          <w:fldChar w:fldCharType="separate"/>
                        </w:r>
                        <w:r>
                          <w:rPr>
                            <w:noProof/>
                          </w:rPr>
                          <w:t>4</w:t>
                        </w:r>
                        <w:r w:rsidR="0000473A">
                          <w:rPr>
                            <w:noProof/>
                          </w:rPr>
                          <w:fldChar w:fldCharType="end"/>
                        </w:r>
                        <w:bookmarkEnd w:id="20"/>
                        <w:r w:rsidRPr="00C96FF6">
                          <w:t>: Energy production in Niger</w:t>
                        </w:r>
                        <w:bookmarkEnd w:id="21"/>
                        <w:bookmarkEnd w:id="22"/>
                        <w:bookmarkEnd w:id="23"/>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top:241539;width:4166870;height:2781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7&#10;0uvBAAAA2gAAAA8AAABkcnMvZG93bnJldi54bWxEj0+LwjAUxO/CfofwFvamqYUtpRplEVY8LfgH&#10;vD6bZ1NtXkoTbf32G0HwOMzMb5j5crCNuFPna8cKppMEBHHpdM2VgsP+d5yD8AFZY+OYFDzIw3Lx&#10;MZpjoV3PW7rvQiUihH2BCkwIbSGlLw1Z9BPXEkfv7DqLIcqukrrDPsJtI9MkyaTFmuOCwZZWhsrr&#10;7mYVrDI+8uXRZ+tU69N0nZu//HtQ6utz+JmBCDSEd/jV3mgFKTyvxBsgF/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v70uvBAAAA2gAAAA8AAAAAAAAAAAAAAAAAnAIAAGRy&#10;cy9kb3ducmV2LnhtbFBLBQYAAAAABAAEAPcAAACKAwAAAAA=&#10;">
                  <v:imagedata r:id="rId19" o:title=""/>
                  <v:path arrowok="t"/>
                </v:shape>
                <w10:wrap type="square" anchorx="margin"/>
              </v:group>
            </w:pict>
          </mc:Fallback>
        </mc:AlternateContent>
      </w:r>
      <w:r w:rsidR="00E96114">
        <w:rPr>
          <w:rFonts w:cs="Segoe UI"/>
        </w:rPr>
        <w:t xml:space="preserve">Five distinct generation companies make up Niger’s total 172 MW on-grid </w:t>
      </w:r>
      <w:r w:rsidR="00E96114" w:rsidRPr="00AF479A">
        <w:rPr>
          <w:rFonts w:cs="Segoe UI"/>
        </w:rPr>
        <w:t>capacity</w:t>
      </w:r>
      <w:r w:rsidR="00E96114">
        <w:rPr>
          <w:rFonts w:cs="Segoe UI"/>
        </w:rPr>
        <w:t xml:space="preserve">, as shown in </w:t>
      </w:r>
      <w:r w:rsidR="00E96114">
        <w:rPr>
          <w:rFonts w:cs="Segoe UI"/>
        </w:rPr>
        <w:fldChar w:fldCharType="begin"/>
      </w:r>
      <w:r w:rsidR="00E96114">
        <w:rPr>
          <w:rFonts w:cs="Segoe UI"/>
        </w:rPr>
        <w:instrText xml:space="preserve"> REF _Ref464100888 \h  \* MERGEFORMAT </w:instrText>
      </w:r>
      <w:r w:rsidR="00E96114">
        <w:rPr>
          <w:rFonts w:cs="Segoe UI"/>
        </w:rPr>
      </w:r>
      <w:r w:rsidR="00E96114">
        <w:rPr>
          <w:rFonts w:cs="Segoe UI"/>
        </w:rPr>
        <w:fldChar w:fldCharType="separate"/>
      </w:r>
      <w:r w:rsidR="000D1C35" w:rsidRPr="000D1C35">
        <w:rPr>
          <w:rFonts w:cs="Segoe UI"/>
        </w:rPr>
        <w:t>Figure 4</w:t>
      </w:r>
      <w:r w:rsidR="00E96114">
        <w:rPr>
          <w:rFonts w:cs="Segoe UI"/>
        </w:rPr>
        <w:fldChar w:fldCharType="end"/>
      </w:r>
      <w:r w:rsidR="00E96114">
        <w:rPr>
          <w:rFonts w:cs="Segoe UI"/>
        </w:rPr>
        <w:t>. NIGELEC, the principal state energy company and utility accounts for about 50% of generation.</w:t>
      </w:r>
      <w:r w:rsidR="00E96114">
        <w:rPr>
          <w:rStyle w:val="FootnoteReference"/>
          <w:rFonts w:cs="Segoe UI"/>
        </w:rPr>
        <w:footnoteReference w:id="6"/>
      </w:r>
      <w:r w:rsidR="00E96114">
        <w:rPr>
          <w:rFonts w:cs="Segoe UI"/>
        </w:rPr>
        <w:t xml:space="preserve"> Other power generation companies include a range of regional providers and IPPs, many of which supply energy predominantly to uranium mines, refineries, and other large industrial clients. The vast majority of this power comes from traditional fossil fuels, with oil and coal accounting for close to 98% of all generation in Niger</w:t>
      </w:r>
      <w:r w:rsidR="00E96114" w:rsidRPr="00E10C54">
        <w:rPr>
          <w:rFonts w:cs="Segoe UI"/>
        </w:rPr>
        <w:t>.</w:t>
      </w:r>
      <w:r w:rsidR="00E96114">
        <w:rPr>
          <w:rStyle w:val="FootnoteReference"/>
          <w:rFonts w:cs="Segoe UI"/>
        </w:rPr>
        <w:footnoteReference w:id="7"/>
      </w:r>
      <w:r w:rsidR="00E96114">
        <w:rPr>
          <w:rFonts w:cs="Segoe UI"/>
        </w:rPr>
        <w:t xml:space="preserve"> The remaining 2% is made up of smaller PV installations servicing clients such as telco towers, more affluent private households, and isolated community installations (mini-grids). </w:t>
      </w:r>
    </w:p>
    <w:p w14:paraId="5B6E98D6" w14:textId="38D247E1" w:rsidR="00E96114" w:rsidRPr="00E10C54" w:rsidRDefault="00E96114" w:rsidP="00E96114">
      <w:pPr>
        <w:jc w:val="both"/>
        <w:rPr>
          <w:rFonts w:cs="Segoe UI"/>
        </w:rPr>
      </w:pPr>
      <w:r>
        <w:rPr>
          <w:rFonts w:cs="Segoe UI"/>
        </w:rPr>
        <w:t>Besides the grid network, around 80 decentralized mini-grids supply electricity at service levels ranging from continuous power to only a few hours of power per day. These mini-grids are diesel generator-powered systems with generation capacities ranging from around 25-100 kW. Due to the combination of high operating costs of diesel-based power generation, and low affordability of end</w:t>
      </w:r>
      <w:r w:rsidR="00F93BCF">
        <w:rPr>
          <w:rFonts w:cs="Segoe UI"/>
        </w:rPr>
        <w:t>-</w:t>
      </w:r>
      <w:r>
        <w:rPr>
          <w:rFonts w:cs="Segoe UI"/>
        </w:rPr>
        <w:t>consumer</w:t>
      </w:r>
      <w:r w:rsidR="00F93BCF">
        <w:rPr>
          <w:rFonts w:cs="Segoe UI"/>
        </w:rPr>
        <w:t>s</w:t>
      </w:r>
      <w:r>
        <w:rPr>
          <w:rFonts w:cs="Segoe UI"/>
        </w:rPr>
        <w:t xml:space="preserve"> in rural communities, all currently active decentralized mini-grids are loss making.</w:t>
      </w:r>
      <w:r>
        <w:rPr>
          <w:rStyle w:val="FootnoteReference"/>
          <w:rFonts w:cs="Segoe UI"/>
        </w:rPr>
        <w:footnoteReference w:id="8"/>
      </w:r>
    </w:p>
    <w:p w14:paraId="3CEA2767" w14:textId="61038761" w:rsidR="00E96114" w:rsidRDefault="00E96114" w:rsidP="00E96114">
      <w:pPr>
        <w:jc w:val="both"/>
        <w:rPr>
          <w:rFonts w:cs="Segoe UI"/>
        </w:rPr>
      </w:pPr>
      <w:r>
        <w:rPr>
          <w:rFonts w:cs="Segoe UI"/>
        </w:rPr>
        <w:t>Only around 50% of Niger’s installed capacity goes to public consumption, the rest supplies mines and other industrial uses. As a result, Niger is highly dependent on power imports from neighboring countries, particularly Nigeria. Power imports range between 130 MW and 190 MW</w:t>
      </w:r>
      <w:r>
        <w:rPr>
          <w:rStyle w:val="FootnoteReference"/>
          <w:rFonts w:cs="Segoe UI"/>
        </w:rPr>
        <w:footnoteReference w:id="9"/>
      </w:r>
      <w:r>
        <w:rPr>
          <w:rFonts w:cs="Segoe UI"/>
        </w:rPr>
        <w:t>, and NIGELEC reports total sales of 1,024 GWh in 2015, of which around 77% was sourced from Nigeria.</w:t>
      </w:r>
      <w:r>
        <w:rPr>
          <w:rStyle w:val="FootnoteReference"/>
          <w:rFonts w:cs="Segoe UI"/>
        </w:rPr>
        <w:footnoteReference w:id="10"/>
      </w:r>
      <w:r>
        <w:rPr>
          <w:rFonts w:cs="Segoe UI"/>
        </w:rPr>
        <w:t xml:space="preserve"> This imported power is generally cheap at a wholesale price of around</w:t>
      </w:r>
      <w:r w:rsidRPr="00AF479A">
        <w:rPr>
          <w:rFonts w:cs="Segoe UI"/>
        </w:rPr>
        <w:t xml:space="preserve"> </w:t>
      </w:r>
      <w:r>
        <w:rPr>
          <w:rFonts w:cs="Segoe UI"/>
        </w:rPr>
        <w:t>US $0.04 per kWh</w:t>
      </w:r>
      <w:r>
        <w:rPr>
          <w:rStyle w:val="FootnoteReference"/>
          <w:rFonts w:cs="Segoe UI"/>
        </w:rPr>
        <w:footnoteReference w:id="11"/>
      </w:r>
      <w:r>
        <w:rPr>
          <w:rFonts w:cs="Segoe UI"/>
        </w:rPr>
        <w:t>. Local production in Niger is significantly more expensive. NIGELEC purchases electricity from Nigerien oil-powered plants at US $0.22/kWh and from coal-powered plants at US $0.12/kWh</w:t>
      </w:r>
      <w:r>
        <w:rPr>
          <w:rStyle w:val="FootnoteReference"/>
          <w:rFonts w:cs="Segoe UI"/>
        </w:rPr>
        <w:footnoteReference w:id="12"/>
      </w:r>
      <w:r>
        <w:rPr>
          <w:rFonts w:cs="Segoe UI"/>
        </w:rPr>
        <w:t xml:space="preserve">. Consequently, incentives to expand domestic power generation </w:t>
      </w:r>
      <w:r w:rsidR="00F93BCF">
        <w:rPr>
          <w:rFonts w:cs="Segoe UI"/>
        </w:rPr>
        <w:t xml:space="preserve">have </w:t>
      </w:r>
      <w:r>
        <w:rPr>
          <w:rFonts w:cs="Segoe UI"/>
        </w:rPr>
        <w:t xml:space="preserve">been limited. </w:t>
      </w:r>
    </w:p>
    <w:p w14:paraId="7DF67634" w14:textId="77777777" w:rsidR="00E96114" w:rsidRDefault="00E96114" w:rsidP="00E96114">
      <w:pPr>
        <w:jc w:val="both"/>
        <w:rPr>
          <w:rFonts w:cs="Segoe UI"/>
          <w:lang w:val="en-GB"/>
        </w:rPr>
      </w:pPr>
      <w:r>
        <w:rPr>
          <w:rFonts w:cs="Segoe UI"/>
        </w:rPr>
        <w:lastRenderedPageBreak/>
        <w:t>Electricity consumption in Niger is generally low. In 2013, per capita electricity consumption was less than 50 kWh</w:t>
      </w:r>
      <w:r>
        <w:rPr>
          <w:rStyle w:val="FootnoteReference"/>
          <w:rFonts w:cs="Segoe UI"/>
        </w:rPr>
        <w:footnoteReference w:id="13"/>
      </w:r>
      <w:r>
        <w:rPr>
          <w:rFonts w:cs="Segoe UI"/>
        </w:rPr>
        <w:t xml:space="preserve"> against an African average of </w:t>
      </w:r>
      <w:r w:rsidRPr="00657EF3">
        <w:rPr>
          <w:rFonts w:cs="Segoe UI"/>
          <w:lang w:val="en-GB"/>
        </w:rPr>
        <w:t>575 kWh and a</w:t>
      </w:r>
      <w:r>
        <w:rPr>
          <w:rFonts w:cs="Segoe UI"/>
          <w:lang w:val="en-GB"/>
        </w:rPr>
        <w:t xml:space="preserve"> </w:t>
      </w:r>
      <w:r w:rsidRPr="00657EF3">
        <w:rPr>
          <w:rFonts w:cs="Segoe UI"/>
          <w:lang w:val="en-GB"/>
        </w:rPr>
        <w:t>global average of over 2</w:t>
      </w:r>
      <w:r>
        <w:rPr>
          <w:rFonts w:cs="Segoe UI"/>
          <w:lang w:val="en-GB"/>
        </w:rPr>
        <w:t>,</w:t>
      </w:r>
      <w:r w:rsidRPr="00657EF3">
        <w:rPr>
          <w:rFonts w:cs="Segoe UI"/>
          <w:lang w:val="en-GB"/>
        </w:rPr>
        <w:t>770 kWh.</w:t>
      </w:r>
      <w:r>
        <w:rPr>
          <w:rStyle w:val="FootnoteReference"/>
          <w:rFonts w:cs="Segoe UI"/>
          <w:lang w:val="en-GB"/>
        </w:rPr>
        <w:footnoteReference w:id="14"/>
      </w:r>
      <w:r>
        <w:rPr>
          <w:rFonts w:cs="Segoe UI"/>
          <w:lang w:val="en-GB"/>
        </w:rPr>
        <w:t xml:space="preserve"> This makes the average Nigerien citizen among the lowest consumers of electricity in the world. However, o</w:t>
      </w:r>
      <w:r w:rsidRPr="009D50F3">
        <w:rPr>
          <w:rFonts w:cs="Segoe UI"/>
          <w:lang w:val="en-GB"/>
        </w:rPr>
        <w:t>ver the period 2001-2014 electricity consumption in Niger grew at an average 8.5</w:t>
      </w:r>
      <w:r>
        <w:rPr>
          <w:rFonts w:cs="Segoe UI"/>
          <w:lang w:val="en-GB"/>
        </w:rPr>
        <w:t xml:space="preserve">% per </w:t>
      </w:r>
      <w:r w:rsidRPr="009D50F3">
        <w:rPr>
          <w:rFonts w:cs="Segoe UI"/>
          <w:lang w:val="en-GB"/>
        </w:rPr>
        <w:t>year, much faster than the GDP growth of about 4</w:t>
      </w:r>
      <w:r>
        <w:rPr>
          <w:rFonts w:cs="Segoe UI"/>
          <w:lang w:val="en-GB"/>
        </w:rPr>
        <w:t>%.</w:t>
      </w:r>
      <w:r>
        <w:rPr>
          <w:rStyle w:val="FootnoteReference"/>
          <w:rFonts w:cs="Segoe UI"/>
          <w:lang w:val="en-GB"/>
        </w:rPr>
        <w:footnoteReference w:id="15"/>
      </w:r>
    </w:p>
    <w:p w14:paraId="73219648" w14:textId="2A92F235" w:rsidR="00E96114" w:rsidRPr="0001636D" w:rsidRDefault="00FA135B" w:rsidP="00E96114">
      <w:pPr>
        <w:jc w:val="both"/>
        <w:rPr>
          <w:rFonts w:cs="Segoe UI"/>
        </w:rPr>
      </w:pPr>
      <w:r>
        <w:rPr>
          <w:rFonts w:cs="Segoe UI"/>
          <w:noProof/>
        </w:rPr>
        <mc:AlternateContent>
          <mc:Choice Requires="wpg">
            <w:drawing>
              <wp:anchor distT="0" distB="0" distL="114300" distR="114300" simplePos="0" relativeHeight="251724800" behindDoc="0" locked="0" layoutInCell="1" allowOverlap="1" wp14:anchorId="24E8860C" wp14:editId="7488275F">
                <wp:simplePos x="0" y="0"/>
                <wp:positionH relativeFrom="column">
                  <wp:posOffset>2724150</wp:posOffset>
                </wp:positionH>
                <wp:positionV relativeFrom="paragraph">
                  <wp:posOffset>554990</wp:posOffset>
                </wp:positionV>
                <wp:extent cx="3524250" cy="2122170"/>
                <wp:effectExtent l="0" t="0" r="0" b="0"/>
                <wp:wrapSquare wrapText="bothSides"/>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4250" cy="2122170"/>
                          <a:chOff x="0" y="-30105"/>
                          <a:chExt cx="3715841" cy="2236233"/>
                        </a:xfrm>
                      </wpg:grpSpPr>
                      <wps:wsp>
                        <wps:cNvPr id="6" name="Text Box 6"/>
                        <wps:cNvSpPr txBox="1"/>
                        <wps:spPr>
                          <a:xfrm>
                            <a:off x="24" y="-30105"/>
                            <a:ext cx="3715817" cy="269874"/>
                          </a:xfrm>
                          <a:prstGeom prst="rect">
                            <a:avLst/>
                          </a:prstGeom>
                          <a:solidFill>
                            <a:prstClr val="white"/>
                          </a:solidFill>
                          <a:ln>
                            <a:noFill/>
                          </a:ln>
                        </wps:spPr>
                        <wps:txbx>
                          <w:txbxContent>
                            <w:p w14:paraId="39EE446B" w14:textId="1E21BEA0" w:rsidR="00BB3453" w:rsidRPr="00834B38" w:rsidRDefault="00BB3453" w:rsidP="0099462C">
                              <w:pPr>
                                <w:pStyle w:val="Caption"/>
                              </w:pPr>
                              <w:bookmarkStart w:id="21" w:name="_Ref464102301"/>
                              <w:bookmarkStart w:id="22" w:name="_Toc475007372"/>
                              <w:bookmarkStart w:id="23" w:name="_Toc476298049"/>
                              <w:bookmarkStart w:id="24" w:name="_Toc500969342"/>
                              <w:r>
                                <w:t xml:space="preserve">Figure </w:t>
                              </w:r>
                              <w:fldSimple w:instr=" SEQ Figure \* ARABIC ">
                                <w:r>
                                  <w:rPr>
                                    <w:noProof/>
                                  </w:rPr>
                                  <w:t>5</w:t>
                                </w:r>
                              </w:fldSimple>
                              <w:bookmarkEnd w:id="21"/>
                              <w:r>
                                <w:t>: Electricity tariffs in selected West African countries</w:t>
                              </w:r>
                              <w:bookmarkEnd w:id="22"/>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62393"/>
                            <a:ext cx="3682365" cy="19437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E8860C" id="Group 7" o:spid="_x0000_s1033" style="position:absolute;left:0;text-align:left;margin-left:214.5pt;margin-top:43.7pt;width:277.5pt;height:167.1pt;z-index:251724800;mso-width-relative:margin;mso-height-relative:margin" coordorigin=",-30105" coordsize="3715841,22362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">
                <o:lock v:ext="edit" aspectratio="t"/>
                <v:shape id="Text Box 6" o:spid="_x0000_s1034" type="#_x0000_t202" style="position:absolute;left:24;top:-30105;width:3715817;height:2698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9NwQAA&#10;ANoAAAAPAAAAZHJzL2Rvd25yZXYueG1sRI9Lq8IwFIT3F/wP4Qh3c9FUFyLVKL4uuNCFD1wfmmNb&#10;bE5KEm3990YQXA4z3wwznbemEg9yvrSsYNBPQBBnVpecKzif/ntjED4ga6wsk4IneZjPOj9TTLVt&#10;+ECPY8hFLGGfooIihDqV0mcFGfR9WxNH72qdwRCly6V22MRyU8lhkoykwZLjQoE1rQrKbse7UTBa&#10;u3tz4NXf+rzZ4b7Oh5fl86LUb7ddTEAEasM3/KG3OnLwvhJv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wvTcEAAADaAAAADwAAAAAAAAAAAAAAAACXAgAAZHJzL2Rvd25y&#10;ZXYueG1sUEsFBgAAAAAEAAQA9QAAAIUDAAAAAA==&#10;" stroked="f">
                  <v:textbox inset="0,0,0,0">
                    <w:txbxContent>
                      <w:p w14:paraId="39EE446B" w14:textId="1E21BEA0" w:rsidR="00BB3453" w:rsidRPr="00834B38" w:rsidRDefault="00BB3453" w:rsidP="0099462C">
                        <w:pPr>
                          <w:pStyle w:val="Caption"/>
                        </w:pPr>
                        <w:bookmarkStart w:id="28" w:name="_Ref464102301"/>
                        <w:bookmarkStart w:id="29" w:name="_Toc475007372"/>
                        <w:bookmarkStart w:id="30" w:name="_Toc476298049"/>
                        <w:bookmarkStart w:id="31" w:name="_Toc500969342"/>
                        <w:r>
                          <w:t xml:space="preserve">Figure </w:t>
                        </w:r>
                        <w:r w:rsidR="0000473A">
                          <w:fldChar w:fldCharType="begin"/>
                        </w:r>
                        <w:r w:rsidR="0000473A">
                          <w:instrText xml:space="preserve"> SEQ Figure \* ARABIC </w:instrText>
                        </w:r>
                        <w:r w:rsidR="0000473A">
                          <w:fldChar w:fldCharType="separate"/>
                        </w:r>
                        <w:r>
                          <w:rPr>
                            <w:noProof/>
                          </w:rPr>
                          <w:t>5</w:t>
                        </w:r>
                        <w:r w:rsidR="0000473A">
                          <w:rPr>
                            <w:noProof/>
                          </w:rPr>
                          <w:fldChar w:fldCharType="end"/>
                        </w:r>
                        <w:bookmarkEnd w:id="28"/>
                        <w:r>
                          <w:t>: Electricity tariffs in selected West African countries</w:t>
                        </w:r>
                        <w:bookmarkEnd w:id="29"/>
                        <w:bookmarkEnd w:id="30"/>
                        <w:bookmarkEnd w:id="31"/>
                      </w:p>
                    </w:txbxContent>
                  </v:textbox>
                </v:shape>
                <v:shape id="Picture 5" o:spid="_x0000_s1035" type="#_x0000_t75" style="position:absolute;top:262393;width:3682365;height:194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10;B37EAAAA2gAAAA8AAABkcnMvZG93bnJldi54bWxEj0FrwkAUhO8F/8PyBC+l2VSItNFVRGixhxZM&#10;CvH4yD6TYPZtyG6T9N93BaHHYWa+YTa7ybRioN41lhU8RzEI4tLqhisF3/nb0wsI55E1tpZJwS85&#10;2G1nDxtMtR35REPmKxEg7FJUUHvfpVK6siaDLrIdcfAutjfog+wrqXscA9y0chnHK2mw4bBQY0eH&#10;mspr9mMUvBdFXi7p/JFQ8dU8DtnqVX+iUov5tF+D8DT5//C9fdQKErhdCTd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kB37EAAAA2gAAAA8AAAAAAAAAAAAAAAAAnAIA&#10;AGRycy9kb3ducmV2LnhtbFBLBQYAAAAABAAEAPcAAACNAwAAAAA=&#10;">
                  <v:imagedata r:id="rId21" o:title=""/>
                  <v:path arrowok="t"/>
                </v:shape>
                <w10:wrap type="square"/>
              </v:group>
            </w:pict>
          </mc:Fallback>
        </mc:AlternateContent>
      </w:r>
      <w:r w:rsidR="00E96114">
        <w:rPr>
          <w:rFonts w:cs="Segoe UI"/>
        </w:rPr>
        <w:t xml:space="preserve">NIGELEC sells power (both imported and domestically generated) to on-grid consumers at a tariff of </w:t>
      </w:r>
      <w:r w:rsidR="00E96114">
        <w:rPr>
          <w:rFonts w:cs="Segoe UI"/>
          <w:lang w:val="en-GB"/>
        </w:rPr>
        <w:t>US $0.158/kWh</w:t>
      </w:r>
      <w:r w:rsidR="00E96114">
        <w:rPr>
          <w:rStyle w:val="CommentReference"/>
        </w:rPr>
        <w:t xml:space="preserve">, </w:t>
      </w:r>
      <w:r w:rsidR="00E96114">
        <w:rPr>
          <w:rStyle w:val="CommentReference"/>
          <w:sz w:val="22"/>
        </w:rPr>
        <w:t xml:space="preserve">close to average for other West African countries </w:t>
      </w:r>
      <w:r w:rsidR="00E96114">
        <w:rPr>
          <w:rFonts w:cs="Segoe UI"/>
          <w:lang w:val="en-GB"/>
        </w:rPr>
        <w:t xml:space="preserve">(see </w:t>
      </w:r>
      <w:r w:rsidR="00E96114">
        <w:rPr>
          <w:rFonts w:cs="Segoe UI"/>
          <w:lang w:val="en-GB"/>
        </w:rPr>
        <w:fldChar w:fldCharType="begin"/>
      </w:r>
      <w:r w:rsidR="00E96114">
        <w:rPr>
          <w:rFonts w:cs="Segoe UI"/>
          <w:lang w:val="en-GB"/>
        </w:rPr>
        <w:instrText xml:space="preserve"> REF _Ref464102301 </w:instrText>
      </w:r>
      <w:r w:rsidR="00E96114">
        <w:rPr>
          <w:rFonts w:cs="Segoe UI"/>
          <w:lang w:val="en-GB"/>
        </w:rPr>
        <w:fldChar w:fldCharType="separate"/>
      </w:r>
      <w:r w:rsidR="000D1C35">
        <w:t xml:space="preserve">Figure </w:t>
      </w:r>
      <w:r w:rsidR="000D1C35">
        <w:rPr>
          <w:noProof/>
        </w:rPr>
        <w:t>5</w:t>
      </w:r>
      <w:r w:rsidR="00E96114">
        <w:rPr>
          <w:rFonts w:cs="Segoe UI"/>
          <w:lang w:val="en-GB"/>
        </w:rPr>
        <w:fldChar w:fldCharType="end"/>
      </w:r>
      <w:r w:rsidR="00E96114">
        <w:rPr>
          <w:rFonts w:cs="Segoe UI"/>
          <w:lang w:val="en-GB"/>
        </w:rPr>
        <w:t>). To increase access to electricity, the government introduced a social tariff in 2012. This supports low income and low consumption subscribers, mainly households, by providing price subsidies based on consumption. Consumers below 3 kWh per day, are charged US $0.11/kWh for the first 50 kWh of electricity consumed. Fixed concessionary rates also apply to industrial consumers (US $0.11/kWh) and agricultural facilities (US $0.07/kWh).</w:t>
      </w:r>
      <w:r w:rsidR="00E96114">
        <w:rPr>
          <w:rStyle w:val="FootnoteReference"/>
          <w:rFonts w:cs="Segoe UI"/>
          <w:lang w:val="en-GB"/>
        </w:rPr>
        <w:footnoteReference w:id="16"/>
      </w:r>
    </w:p>
    <w:p w14:paraId="5D621A30" w14:textId="63AA3F13" w:rsidR="00303431" w:rsidRPr="00C75CB5" w:rsidRDefault="00580775" w:rsidP="00C75CB5">
      <w:pPr>
        <w:pStyle w:val="H2NEWreportStyle"/>
      </w:pPr>
      <w:bookmarkStart w:id="25" w:name="_Toc501097027"/>
      <w:r w:rsidRPr="00C75CB5">
        <w:t xml:space="preserve">The </w:t>
      </w:r>
      <w:r w:rsidR="001E29E9" w:rsidRPr="00C75CB5">
        <w:t xml:space="preserve">current grid network and </w:t>
      </w:r>
      <w:r w:rsidR="00A30E45" w:rsidRPr="00C75CB5">
        <w:t>efforts to increase grid access</w:t>
      </w:r>
      <w:bookmarkEnd w:id="25"/>
    </w:p>
    <w:p w14:paraId="43C5DAD0" w14:textId="2E9B8245" w:rsidR="0074025D" w:rsidRDefault="0074025D" w:rsidP="0074025D">
      <w:pPr>
        <w:jc w:val="both"/>
        <w:rPr>
          <w:rFonts w:cs="Segoe UI"/>
          <w:lang w:val="en-GB"/>
        </w:rPr>
        <w:sectPr w:rsidR="0074025D" w:rsidSect="00E50990">
          <w:headerReference w:type="first" r:id="rId22"/>
          <w:footerReference w:type="first" r:id="rId23"/>
          <w:pgSz w:w="12240" w:h="15840"/>
          <w:pgMar w:top="1440" w:right="1440" w:bottom="1440" w:left="1440" w:header="720" w:footer="720" w:gutter="0"/>
          <w:cols w:space="720"/>
          <w:titlePg/>
          <w:docGrid w:linePitch="360"/>
        </w:sectPr>
      </w:pPr>
      <w:r>
        <w:rPr>
          <w:rFonts w:cs="Segoe UI"/>
          <w:lang w:val="en-GB"/>
        </w:rPr>
        <w:fldChar w:fldCharType="begin"/>
      </w:r>
      <w:r>
        <w:rPr>
          <w:rFonts w:cs="Segoe UI"/>
          <w:lang w:val="en-GB"/>
        </w:rPr>
        <w:instrText xml:space="preserve"> REF _Ref475007779 \h </w:instrText>
      </w:r>
      <w:r>
        <w:rPr>
          <w:rFonts w:cs="Segoe UI"/>
          <w:lang w:val="en-GB"/>
        </w:rPr>
      </w:r>
      <w:r>
        <w:rPr>
          <w:rFonts w:cs="Segoe UI"/>
          <w:lang w:val="en-GB"/>
        </w:rPr>
        <w:fldChar w:fldCharType="separate"/>
      </w:r>
      <w:r w:rsidR="000D1C35">
        <w:t xml:space="preserve">Figure </w:t>
      </w:r>
      <w:r w:rsidR="000D1C35">
        <w:rPr>
          <w:noProof/>
        </w:rPr>
        <w:t>6</w:t>
      </w:r>
      <w:r>
        <w:rPr>
          <w:rFonts w:cs="Segoe UI"/>
          <w:lang w:val="en-GB"/>
        </w:rPr>
        <w:fldChar w:fldCharType="end"/>
      </w:r>
      <w:r>
        <w:rPr>
          <w:rFonts w:cs="Segoe UI"/>
          <w:lang w:val="en-GB"/>
        </w:rPr>
        <w:t xml:space="preserve"> shows the current reach of the grid and community-level mini-grids (“centres isolés”) in Niger</w:t>
      </w:r>
      <w:r w:rsidR="00F93BCF">
        <w:rPr>
          <w:rFonts w:cs="Segoe UI"/>
          <w:lang w:val="en-GB"/>
        </w:rPr>
        <w:t>,</w:t>
      </w:r>
      <w:r>
        <w:rPr>
          <w:rFonts w:cs="Segoe UI"/>
          <w:lang w:val="en-GB"/>
        </w:rPr>
        <w:t xml:space="preserve"> as well as planned grid extension based on information provided by NIGELEC. Although the grid currently only reaches under 11% of the population and only covers a small portion of Niger’s total area, a significant share of the off-grid population lives within relatively close distance to the grid due to high population concentration the south and south-west of the country. Nonetheless, NIGELEC currently distributes electricity to only around 300,000 client connections, most of which</w:t>
      </w:r>
      <w:r w:rsidRPr="004659CE">
        <w:rPr>
          <w:rFonts w:cs="Segoe UI"/>
          <w:lang w:val="en-GB"/>
        </w:rPr>
        <w:t xml:space="preserve"> experience frequent power outages.</w:t>
      </w:r>
      <w:r>
        <w:rPr>
          <w:rStyle w:val="FootnoteReference"/>
          <w:rFonts w:cs="Segoe UI"/>
          <w:lang w:val="en-GB"/>
        </w:rPr>
        <w:footnoteReference w:id="17"/>
      </w:r>
    </w:p>
    <w:p w14:paraId="68C91AC3" w14:textId="2464ECBD" w:rsidR="00321701" w:rsidRDefault="00321701" w:rsidP="0099462C">
      <w:pPr>
        <w:pStyle w:val="Caption"/>
      </w:pPr>
      <w:bookmarkStart w:id="26" w:name="_Ref475007779"/>
      <w:bookmarkStart w:id="27" w:name="_Toc500969343"/>
      <w:r>
        <w:lastRenderedPageBreak/>
        <w:t xml:space="preserve">Figure </w:t>
      </w:r>
      <w:fldSimple w:instr=" SEQ Figure \* ARABIC ">
        <w:r w:rsidR="000D1C35">
          <w:rPr>
            <w:noProof/>
          </w:rPr>
          <w:t>6</w:t>
        </w:r>
      </w:fldSimple>
      <w:bookmarkEnd w:id="26"/>
      <w:r>
        <w:t>: Map of the grid network, centres isolés, and grid ex</w:t>
      </w:r>
      <w:r w:rsidR="008D4840">
        <w:t>tension</w:t>
      </w:r>
      <w:r>
        <w:t xml:space="preserve"> plans in Niger</w:t>
      </w:r>
      <w:r w:rsidR="00E94CAC" w:rsidRPr="00643C28">
        <w:rPr>
          <w:vertAlign w:val="superscript"/>
        </w:rPr>
        <w:footnoteReference w:id="18"/>
      </w:r>
      <w:bookmarkEnd w:id="27"/>
    </w:p>
    <w:p w14:paraId="09FD720A" w14:textId="546E6539" w:rsidR="00A71C0B" w:rsidRDefault="0028798C" w:rsidP="009769AD">
      <w:pPr>
        <w:jc w:val="both"/>
        <w:rPr>
          <w:rFonts w:cs="Segoe UI"/>
          <w:lang w:val="en-GB"/>
        </w:rPr>
      </w:pPr>
      <w:r>
        <w:rPr>
          <w:noProof/>
        </w:rPr>
        <w:drawing>
          <wp:inline distT="0" distB="0" distL="0" distR="0" wp14:anchorId="76BE924F" wp14:editId="33CAE91C">
            <wp:extent cx="7397496" cy="50383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97496" cy="5038344"/>
                    </a:xfrm>
                    <a:prstGeom prst="rect">
                      <a:avLst/>
                    </a:prstGeom>
                  </pic:spPr>
                </pic:pic>
              </a:graphicData>
            </a:graphic>
          </wp:inline>
        </w:drawing>
      </w:r>
    </w:p>
    <w:p w14:paraId="5257FD77" w14:textId="77777777" w:rsidR="00A71C0B" w:rsidRDefault="00A71C0B" w:rsidP="009769AD">
      <w:pPr>
        <w:jc w:val="both"/>
        <w:rPr>
          <w:rFonts w:cs="Segoe UI"/>
          <w:lang w:val="en-GB"/>
        </w:rPr>
        <w:sectPr w:rsidR="00A71C0B" w:rsidSect="00A71C0B">
          <w:headerReference w:type="even" r:id="rId25"/>
          <w:headerReference w:type="default" r:id="rId26"/>
          <w:footerReference w:type="default" r:id="rId27"/>
          <w:headerReference w:type="first" r:id="rId28"/>
          <w:footerReference w:type="first" r:id="rId29"/>
          <w:pgSz w:w="15840" w:h="12240" w:orient="landscape" w:code="1"/>
          <w:pgMar w:top="1440" w:right="1440" w:bottom="1440" w:left="1440" w:header="720" w:footer="720" w:gutter="0"/>
          <w:cols w:space="720"/>
          <w:titlePg/>
          <w:docGrid w:linePitch="360"/>
        </w:sectPr>
      </w:pPr>
    </w:p>
    <w:p w14:paraId="5344CCDA" w14:textId="77777777" w:rsidR="007B7CFD" w:rsidRDefault="007B7CFD" w:rsidP="007B7CFD">
      <w:pPr>
        <w:jc w:val="both"/>
        <w:rPr>
          <w:rFonts w:cs="Segoe UI"/>
        </w:rPr>
      </w:pPr>
      <w:r>
        <w:rPr>
          <w:rFonts w:cs="Segoe UI"/>
        </w:rPr>
        <w:lastRenderedPageBreak/>
        <w:t xml:space="preserve">The Nigerien Government, in partnership with various development partners and governments, has begun projects to increase the supply of electricity and extend the grid. Further major projects are motivated by Niger’s membership in the </w:t>
      </w:r>
      <w:r w:rsidRPr="004776DF">
        <w:rPr>
          <w:rFonts w:cs="Segoe UI"/>
        </w:rPr>
        <w:t>West African Power Pool</w:t>
      </w:r>
      <w:r>
        <w:rPr>
          <w:rFonts w:cs="Segoe UI"/>
        </w:rPr>
        <w:t xml:space="preserve"> (WAPP) based on an agreement to </w:t>
      </w:r>
      <w:r w:rsidRPr="004776DF">
        <w:rPr>
          <w:rFonts w:cs="Segoe UI"/>
        </w:rPr>
        <w:t>participate in the generation and transmission of electricity in the region.</w:t>
      </w:r>
      <w:r>
        <w:rPr>
          <w:rFonts w:cs="Segoe UI"/>
        </w:rPr>
        <w:t xml:space="preserve"> WAPP </w:t>
      </w:r>
      <w:r w:rsidRPr="009528B0">
        <w:rPr>
          <w:rFonts w:cs="Segoe UI"/>
        </w:rPr>
        <w:t xml:space="preserve">expansion projects are led by the countries’ respective utility companies. </w:t>
      </w:r>
    </w:p>
    <w:p w14:paraId="340C6E73" w14:textId="77777777" w:rsidR="0064679B" w:rsidRPr="0064679B" w:rsidRDefault="0064679B" w:rsidP="0064679B">
      <w:pPr>
        <w:jc w:val="both"/>
        <w:rPr>
          <w:rFonts w:cs="Segoe UI"/>
        </w:rPr>
      </w:pPr>
      <w:r w:rsidRPr="0064679B">
        <w:rPr>
          <w:rFonts w:cs="Segoe UI"/>
        </w:rPr>
        <w:t>In June 2016, NIGELEC reported its strategic plan for the years 2016-2027, which provides an overview of efforts to expand grid energy supply. The most notable ongoing and planned construction projects to increase production include:</w:t>
      </w:r>
      <w:r w:rsidRPr="0064679B">
        <w:rPr>
          <w:rFonts w:cs="Segoe UI"/>
          <w:vertAlign w:val="superscript"/>
        </w:rPr>
        <w:footnoteReference w:id="19"/>
      </w:r>
      <w:r w:rsidRPr="0064679B">
        <w:rPr>
          <w:rFonts w:cs="Segoe UI"/>
        </w:rPr>
        <w:t xml:space="preserve"> </w:t>
      </w:r>
    </w:p>
    <w:p w14:paraId="5BF611AF" w14:textId="77777777" w:rsidR="0064679B" w:rsidRPr="0064679B" w:rsidRDefault="0064679B" w:rsidP="006A7E1D">
      <w:pPr>
        <w:numPr>
          <w:ilvl w:val="0"/>
          <w:numId w:val="21"/>
        </w:numPr>
        <w:spacing w:before="120" w:after="120"/>
        <w:jc w:val="both"/>
        <w:rPr>
          <w:rFonts w:cs="Segoe UI"/>
        </w:rPr>
      </w:pPr>
      <w:r w:rsidRPr="0064679B">
        <w:rPr>
          <w:rFonts w:cs="Segoe UI"/>
        </w:rPr>
        <w:t>80MW thermal power plant in Goroubanda; operations to start late 2016 or early 2017</w:t>
      </w:r>
    </w:p>
    <w:p w14:paraId="0A115399" w14:textId="77777777" w:rsidR="0064679B" w:rsidRPr="0064679B" w:rsidRDefault="0064679B" w:rsidP="006A7E1D">
      <w:pPr>
        <w:numPr>
          <w:ilvl w:val="0"/>
          <w:numId w:val="21"/>
        </w:numPr>
        <w:spacing w:before="120" w:after="120"/>
        <w:jc w:val="both"/>
        <w:rPr>
          <w:rFonts w:cs="Segoe UI"/>
        </w:rPr>
      </w:pPr>
      <w:r w:rsidRPr="0064679B">
        <w:rPr>
          <w:rFonts w:cs="Segoe UI"/>
        </w:rPr>
        <w:t>130MW hydroelectric plant at Kandadji; operations expected to start in 2022 (initially planned for 2015)</w:t>
      </w:r>
    </w:p>
    <w:p w14:paraId="55C0D312" w14:textId="77777777" w:rsidR="0064679B" w:rsidRPr="0064679B" w:rsidRDefault="0064679B" w:rsidP="006A7E1D">
      <w:pPr>
        <w:numPr>
          <w:ilvl w:val="0"/>
          <w:numId w:val="21"/>
        </w:numPr>
        <w:spacing w:before="120" w:after="120"/>
        <w:jc w:val="both"/>
        <w:rPr>
          <w:rFonts w:cs="Segoe UI"/>
        </w:rPr>
      </w:pPr>
      <w:r w:rsidRPr="0064679B">
        <w:rPr>
          <w:rFonts w:cs="Segoe UI"/>
        </w:rPr>
        <w:t>200MW (expandable to 600MW) coal plant at Salkadamna; operations expected to start in 2022 (initially planned for 2016)</w:t>
      </w:r>
    </w:p>
    <w:p w14:paraId="616E461C" w14:textId="77777777" w:rsidR="0064679B" w:rsidRPr="0064679B" w:rsidRDefault="0064679B" w:rsidP="006A7E1D">
      <w:pPr>
        <w:numPr>
          <w:ilvl w:val="0"/>
          <w:numId w:val="21"/>
        </w:numPr>
        <w:spacing w:before="120" w:after="120"/>
        <w:jc w:val="both"/>
        <w:rPr>
          <w:rFonts w:cs="Segoe UI"/>
        </w:rPr>
      </w:pPr>
      <w:r w:rsidRPr="0064679B">
        <w:rPr>
          <w:rFonts w:cs="Segoe UI"/>
        </w:rPr>
        <w:t>Multiple solar PV power plants including (i) 20MW in Guesselbody; (ii) 20MW in Goroubanda; (iii) 10MW in Maradi; (iv) 7MW in Malbaza; and (v) 5MW in Zinder</w:t>
      </w:r>
    </w:p>
    <w:p w14:paraId="5E848194" w14:textId="77777777" w:rsidR="0064679B" w:rsidRPr="0064679B" w:rsidRDefault="0064679B" w:rsidP="006A7E1D">
      <w:pPr>
        <w:numPr>
          <w:ilvl w:val="0"/>
          <w:numId w:val="21"/>
        </w:numPr>
        <w:spacing w:before="120" w:after="120"/>
        <w:jc w:val="both"/>
        <w:rPr>
          <w:rFonts w:cs="Segoe UI"/>
        </w:rPr>
      </w:pPr>
      <w:r w:rsidRPr="0064679B">
        <w:rPr>
          <w:rFonts w:cs="Segoe UI"/>
        </w:rPr>
        <w:t>60MW thermal power station near Zinder (SORAZ)</w:t>
      </w:r>
    </w:p>
    <w:p w14:paraId="1C6BE9B4" w14:textId="77777777" w:rsidR="0064679B" w:rsidRPr="0064679B" w:rsidRDefault="0064679B" w:rsidP="006A7E1D">
      <w:pPr>
        <w:numPr>
          <w:ilvl w:val="0"/>
          <w:numId w:val="21"/>
        </w:numPr>
        <w:spacing w:before="120" w:after="120"/>
        <w:jc w:val="both"/>
        <w:rPr>
          <w:rFonts w:cs="Segoe UI"/>
        </w:rPr>
      </w:pPr>
      <w:r w:rsidRPr="0064679B">
        <w:rPr>
          <w:rFonts w:cs="Segoe UI"/>
        </w:rPr>
        <w:t>12MW thermal power station in Maradi</w:t>
      </w:r>
    </w:p>
    <w:p w14:paraId="72F1572F" w14:textId="77777777" w:rsidR="0064679B" w:rsidRPr="0064679B" w:rsidRDefault="0064679B" w:rsidP="006A7E1D">
      <w:pPr>
        <w:numPr>
          <w:ilvl w:val="0"/>
          <w:numId w:val="21"/>
        </w:numPr>
        <w:spacing w:before="120" w:after="120"/>
        <w:jc w:val="both"/>
        <w:rPr>
          <w:rFonts w:cs="Segoe UI"/>
        </w:rPr>
      </w:pPr>
      <w:r w:rsidRPr="0064679B">
        <w:rPr>
          <w:rFonts w:cs="Segoe UI"/>
        </w:rPr>
        <w:t>18MW thermal power station in Malbaza</w:t>
      </w:r>
    </w:p>
    <w:p w14:paraId="2FAA9A24" w14:textId="77777777" w:rsidR="0064679B" w:rsidRPr="0064679B" w:rsidRDefault="0064679B" w:rsidP="0064679B">
      <w:pPr>
        <w:jc w:val="both"/>
        <w:rPr>
          <w:rFonts w:cs="Segoe UI"/>
        </w:rPr>
      </w:pPr>
      <w:r w:rsidRPr="0064679B">
        <w:rPr>
          <w:rFonts w:cs="Segoe UI"/>
        </w:rPr>
        <w:t xml:space="preserve">In addition to increasing supply over the coming years, the strategic plan also includes notable grid extension projects. These include plans to extend transformation and distribution, and interconnect current grid access zones to allow better servicing of zones with production deficits. Ongoing and planned transmission line extensions include: </w:t>
      </w:r>
    </w:p>
    <w:p w14:paraId="3EE8187E" w14:textId="77777777" w:rsidR="0064679B" w:rsidRPr="0064679B" w:rsidRDefault="0064679B" w:rsidP="0064679B">
      <w:pPr>
        <w:numPr>
          <w:ilvl w:val="0"/>
          <w:numId w:val="1"/>
        </w:numPr>
        <w:spacing w:before="120" w:after="120"/>
        <w:rPr>
          <w:rFonts w:cs="Segoe UI"/>
        </w:rPr>
      </w:pPr>
      <w:r w:rsidRPr="0064679B">
        <w:rPr>
          <w:rFonts w:cs="Segoe UI"/>
        </w:rPr>
        <w:t>330kV transmission lines, agreed by WAPP, that connect Niger to Nigeria, Burkina Faso, Benin and Togo; completion planned for 2022, with first priorities being:</w:t>
      </w:r>
    </w:p>
    <w:p w14:paraId="69006333" w14:textId="77777777" w:rsidR="0064679B" w:rsidRPr="0064679B" w:rsidRDefault="0064679B" w:rsidP="0064679B">
      <w:pPr>
        <w:numPr>
          <w:ilvl w:val="1"/>
          <w:numId w:val="1"/>
        </w:numPr>
        <w:spacing w:before="120" w:after="120"/>
        <w:rPr>
          <w:rFonts w:cs="Segoe UI"/>
          <w:lang w:val="en-GB"/>
        </w:rPr>
      </w:pPr>
      <w:r w:rsidRPr="0064679B">
        <w:rPr>
          <w:rFonts w:cs="Segoe UI"/>
          <w:lang w:val="en-GB"/>
        </w:rPr>
        <w:t xml:space="preserve">The “dorsale Nord” project to connect Birnin-Kebbi (Nigeria), Niamey (Niger), Ouagadougou (Burkina Faso), and Malanville (Benin) </w:t>
      </w:r>
    </w:p>
    <w:p w14:paraId="4EEA9C07" w14:textId="77777777" w:rsidR="0064679B" w:rsidRPr="0064679B" w:rsidRDefault="0064679B" w:rsidP="0064679B">
      <w:pPr>
        <w:numPr>
          <w:ilvl w:val="1"/>
          <w:numId w:val="1"/>
        </w:numPr>
        <w:spacing w:before="120" w:after="120"/>
        <w:rPr>
          <w:rFonts w:cs="Segoe UI"/>
        </w:rPr>
      </w:pPr>
      <w:r w:rsidRPr="0064679B">
        <w:rPr>
          <w:rFonts w:cs="Segoe UI"/>
          <w:lang w:val="en-GB"/>
        </w:rPr>
        <w:t xml:space="preserve">Interconnection of zones by constructing a </w:t>
      </w:r>
      <w:r w:rsidRPr="0064679B">
        <w:rPr>
          <w:rFonts w:cs="Segoe UI"/>
        </w:rPr>
        <w:t>330kV transmission line from Niamey to Salkadamna</w:t>
      </w:r>
    </w:p>
    <w:p w14:paraId="1970A617" w14:textId="659C6F2B" w:rsidR="0064679B" w:rsidRPr="0064679B" w:rsidRDefault="0064679B" w:rsidP="0064679B">
      <w:pPr>
        <w:numPr>
          <w:ilvl w:val="0"/>
          <w:numId w:val="1"/>
        </w:numPr>
        <w:spacing w:before="120" w:after="120"/>
        <w:rPr>
          <w:rFonts w:cs="Segoe UI"/>
        </w:rPr>
      </w:pPr>
      <w:r w:rsidRPr="0064679B">
        <w:rPr>
          <w:rFonts w:cs="Segoe UI"/>
        </w:rPr>
        <w:t>Multiple 132kV lines, including among other</w:t>
      </w:r>
      <w:r w:rsidR="00F93BCF">
        <w:rPr>
          <w:rFonts w:cs="Segoe UI"/>
        </w:rPr>
        <w:t>s,</w:t>
      </w:r>
      <w:r w:rsidRPr="0064679B">
        <w:rPr>
          <w:rFonts w:cs="Segoe UI"/>
        </w:rPr>
        <w:t xml:space="preserve"> connections of: (i) Salkadamna, Tahoua, Malbaza and Maradi; (ii) Kandadji to Niamey; and (iii) Zinder to Tanout</w:t>
      </w:r>
    </w:p>
    <w:p w14:paraId="11A08944" w14:textId="77777777" w:rsidR="0064679B" w:rsidRPr="0064679B" w:rsidRDefault="0064679B" w:rsidP="0064679B">
      <w:pPr>
        <w:jc w:val="both"/>
        <w:rPr>
          <w:rFonts w:cs="Segoe UI"/>
        </w:rPr>
      </w:pPr>
      <w:r w:rsidRPr="0064679B">
        <w:rPr>
          <w:rFonts w:cs="Segoe UI"/>
        </w:rPr>
        <w:lastRenderedPageBreak/>
        <w:t>Beyond those already covered by the grid extensions mentioned above, NIGELEC is also currently considering extending the grid to reach the community-level mini-grids, and connecting these to the grid.</w:t>
      </w:r>
      <w:r w:rsidRPr="0064679B">
        <w:rPr>
          <w:rFonts w:cs="Segoe UI"/>
          <w:vertAlign w:val="superscript"/>
        </w:rPr>
        <w:footnoteReference w:id="20"/>
      </w:r>
    </w:p>
    <w:p w14:paraId="56BE9F10" w14:textId="77777777" w:rsidR="0064679B" w:rsidRPr="0064679B" w:rsidRDefault="0064679B" w:rsidP="0064679B">
      <w:pPr>
        <w:spacing w:before="120" w:after="120"/>
        <w:jc w:val="both"/>
        <w:rPr>
          <w:rFonts w:cs="Segoe UI"/>
        </w:rPr>
      </w:pPr>
      <w:r w:rsidRPr="0064679B">
        <w:rPr>
          <w:rFonts w:cs="Segoe UI"/>
        </w:rPr>
        <w:t>Further projects are currently focusing on increasing the number of households reached close to the major transmission and distribution lines; i.e. branching off the artery lines into substations and small distribution lines. For many of these projects, the government and NIGELEC are receiving considerable support – both financial and technical – from international development banks and agencies. Some of the most notable projects to increase rural energy access include:</w:t>
      </w:r>
    </w:p>
    <w:p w14:paraId="69E90CD7" w14:textId="3D61BF5B" w:rsidR="0064679B" w:rsidRPr="0064679B" w:rsidRDefault="0064679B" w:rsidP="0064679B">
      <w:pPr>
        <w:jc w:val="both"/>
        <w:rPr>
          <w:rFonts w:cs="Segoe UI"/>
        </w:rPr>
      </w:pPr>
      <w:r w:rsidRPr="0064679B">
        <w:rPr>
          <w:rFonts w:cs="Segoe UI"/>
          <w:b/>
          <w:lang w:val="fr-FR"/>
        </w:rPr>
        <w:t>“Programme special d’electrification du President de la Republique”.</w:t>
      </w:r>
      <w:r w:rsidRPr="0064679B">
        <w:rPr>
          <w:rFonts w:cs="Segoe UI"/>
          <w:lang w:val="fr-FR"/>
        </w:rPr>
        <w:t xml:space="preserve"> </w:t>
      </w:r>
      <w:r w:rsidRPr="0064679B">
        <w:rPr>
          <w:rFonts w:cs="Segoe UI"/>
        </w:rPr>
        <w:t xml:space="preserve">This government program was launched in 2011, with the goal of electrifying 500 villages by 2016, i.e. to reach </w:t>
      </w:r>
      <w:r w:rsidR="00F93BCF">
        <w:rPr>
          <w:rFonts w:cs="Segoe UI"/>
        </w:rPr>
        <w:t xml:space="preserve">an </w:t>
      </w:r>
      <w:r w:rsidRPr="0064679B">
        <w:rPr>
          <w:rFonts w:cs="Segoe UI"/>
        </w:rPr>
        <w:t>additional 100 villages each year, with these typically being situated within 5 km of the current grid infrastructure. The goal of reaching 100 villages per year will increase to 200 villages per year from 2017 onwards.</w:t>
      </w:r>
    </w:p>
    <w:p w14:paraId="2C9E80C1" w14:textId="77777777" w:rsidR="0064679B" w:rsidRPr="0064679B" w:rsidRDefault="0064679B" w:rsidP="0064679B">
      <w:pPr>
        <w:spacing w:before="120" w:after="120"/>
        <w:jc w:val="both"/>
        <w:rPr>
          <w:rFonts w:cs="Segoe UI"/>
        </w:rPr>
      </w:pPr>
      <w:r w:rsidRPr="0064679B">
        <w:rPr>
          <w:rFonts w:cs="Segoe UI"/>
          <w:b/>
        </w:rPr>
        <w:t>Electricity Access Expansion Project (NELACEP).</w:t>
      </w:r>
      <w:r w:rsidRPr="0064679B">
        <w:rPr>
          <w:rFonts w:cs="Segoe UI"/>
        </w:rPr>
        <w:t xml:space="preserve"> In December 2015, the World Bank approved an IDA credit of US $54.5 million and a grant of US $10.5 million to increase energy access in Niger. The funding will be used to finance NIGELEC investments in distribution, with a focus on increasing grid density, through short leader line extensions, in seven major urban areas, including Niamey; the project is expected to benefit around 330,000 people, including households, small business, and public institutions.</w:t>
      </w:r>
      <w:r w:rsidRPr="0064679B">
        <w:rPr>
          <w:rFonts w:cs="Segoe UI"/>
          <w:vertAlign w:val="superscript"/>
        </w:rPr>
        <w:footnoteReference w:id="21"/>
      </w:r>
      <w:r w:rsidRPr="0064679B">
        <w:rPr>
          <w:rFonts w:cs="Segoe UI"/>
        </w:rPr>
        <w:t xml:space="preserve"> </w:t>
      </w:r>
    </w:p>
    <w:p w14:paraId="57BE2E20" w14:textId="4777FF16" w:rsidR="0064679B" w:rsidRPr="0064679B" w:rsidRDefault="0064679B" w:rsidP="0064679B">
      <w:pPr>
        <w:spacing w:before="120" w:after="120"/>
        <w:jc w:val="both"/>
        <w:rPr>
          <w:rFonts w:cs="Segoe UI"/>
        </w:rPr>
      </w:pPr>
      <w:r w:rsidRPr="0064679B">
        <w:rPr>
          <w:rFonts w:cs="Segoe UI"/>
          <w:b/>
        </w:rPr>
        <w:t>AFD program to expand electricity access in Niamey.</w:t>
      </w:r>
      <w:r w:rsidRPr="0064679B">
        <w:rPr>
          <w:rFonts w:cs="Segoe UI"/>
        </w:rPr>
        <w:t xml:space="preserve"> This program is run by the French Development Agency (AFD) and aims to extend urban electricity distribution, with a focus on providing electricity in several currently off-grid peri-urban neighborhoods of Niamey.</w:t>
      </w:r>
      <w:r w:rsidRPr="0064679B">
        <w:rPr>
          <w:rFonts w:cs="Segoe UI"/>
          <w:vertAlign w:val="superscript"/>
        </w:rPr>
        <w:footnoteReference w:id="22"/>
      </w:r>
      <w:r w:rsidRPr="0064679B">
        <w:rPr>
          <w:rFonts w:cs="Segoe UI"/>
        </w:rPr>
        <w:t xml:space="preserve"> An additional </w:t>
      </w:r>
      <w:r w:rsidR="00F93BCF">
        <w:rPr>
          <w:rFonts w:cs="Segoe UI"/>
        </w:rPr>
        <w:t xml:space="preserve">AFD </w:t>
      </w:r>
      <w:r w:rsidRPr="0064679B">
        <w:rPr>
          <w:rFonts w:cs="Segoe UI"/>
        </w:rPr>
        <w:t>program focused on rural grid extension is currently in planning.</w:t>
      </w:r>
    </w:p>
    <w:p w14:paraId="35FC5C70" w14:textId="77777777" w:rsidR="0064679B" w:rsidRPr="0064679B" w:rsidRDefault="0064679B" w:rsidP="0064679B">
      <w:pPr>
        <w:spacing w:before="120" w:after="120"/>
        <w:jc w:val="both"/>
        <w:rPr>
          <w:rFonts w:cs="Segoe UI"/>
        </w:rPr>
      </w:pPr>
    </w:p>
    <w:p w14:paraId="522194BC" w14:textId="2D731439" w:rsidR="001E29E9" w:rsidRDefault="0064679B" w:rsidP="0064679B">
      <w:pPr>
        <w:spacing w:before="120" w:after="120"/>
        <w:jc w:val="both"/>
        <w:rPr>
          <w:rFonts w:cs="Segoe UI"/>
        </w:rPr>
      </w:pPr>
      <w:r w:rsidRPr="0064679B">
        <w:rPr>
          <w:rFonts w:cs="Segoe UI"/>
        </w:rPr>
        <w:t xml:space="preserve">In addition, the new Electricity Act called for the establishment of further authorities to promote rural electrification and regulate the energy sector. This led to the creation of the </w:t>
      </w:r>
      <w:r w:rsidRPr="0064679B">
        <w:rPr>
          <w:rFonts w:cs="Segoe UI"/>
          <w:b/>
        </w:rPr>
        <w:t>National Agency for the Promotion of Electrification in Rural Areas (ANPER)</w:t>
      </w:r>
      <w:r w:rsidRPr="0064679B">
        <w:rPr>
          <w:rFonts w:cs="Segoe UI"/>
        </w:rPr>
        <w:t xml:space="preserve"> in January 2015, whose main mandate is to extend electricity access into rural areas of Niger.</w:t>
      </w:r>
      <w:r w:rsidR="00BA6F35">
        <w:rPr>
          <w:rFonts w:cs="Segoe UI"/>
        </w:rPr>
        <w:t xml:space="preserve"> </w:t>
      </w:r>
      <w:r w:rsidR="00784F86">
        <w:rPr>
          <w:rFonts w:cs="Segoe UI"/>
        </w:rPr>
        <w:t xml:space="preserve"> </w:t>
      </w:r>
    </w:p>
    <w:p w14:paraId="315EC9EC" w14:textId="77777777" w:rsidR="004D143A" w:rsidRDefault="004D143A">
      <w:pPr>
        <w:rPr>
          <w:rFonts w:eastAsiaTheme="majorEastAsia" w:cs="Segoe UI"/>
          <w:b/>
          <w:bCs/>
          <w:color w:val="6BADB7" w:themeColor="accent1" w:themeShade="BF"/>
          <w:sz w:val="28"/>
          <w:szCs w:val="28"/>
        </w:rPr>
      </w:pPr>
      <w:r>
        <w:rPr>
          <w:rFonts w:cs="Segoe UI"/>
        </w:rPr>
        <w:br w:type="page"/>
      </w:r>
    </w:p>
    <w:p w14:paraId="370784A4" w14:textId="4BCD5A27" w:rsidR="00CD748E" w:rsidRPr="001E3097" w:rsidRDefault="003274D1" w:rsidP="00C75CB5">
      <w:pPr>
        <w:pStyle w:val="H1NEWreportStyle"/>
      </w:pPr>
      <w:bookmarkStart w:id="28" w:name="_Ref476124713"/>
      <w:bookmarkStart w:id="29" w:name="_Toc501097028"/>
      <w:r w:rsidRPr="001E3097">
        <w:lastRenderedPageBreak/>
        <w:t xml:space="preserve">The market opportunity for </w:t>
      </w:r>
      <w:r w:rsidR="008F3FE7" w:rsidRPr="001E3097">
        <w:t xml:space="preserve">stand-alone </w:t>
      </w:r>
      <w:r w:rsidRPr="001E3097">
        <w:t xml:space="preserve">solar </w:t>
      </w:r>
      <w:r w:rsidR="008F3FE7" w:rsidRPr="001E3097">
        <w:t>systems</w:t>
      </w:r>
      <w:bookmarkEnd w:id="28"/>
      <w:bookmarkEnd w:id="29"/>
    </w:p>
    <w:p w14:paraId="2BF409B5" w14:textId="4145937C" w:rsidR="0064679B" w:rsidRDefault="0064679B" w:rsidP="0064679B">
      <w:pPr>
        <w:jc w:val="both"/>
      </w:pPr>
      <w:bookmarkStart w:id="30" w:name="_Ref475599029"/>
      <w:r>
        <w:t xml:space="preserve">In this section, we attempt to estimate demand for solar technology for a range of market segments. For each segment, we compare the costs of using solar technology against conventional energy sources (diesel generators, the grid, candles </w:t>
      </w:r>
      <w:r w:rsidR="00FA3A95">
        <w:t>and</w:t>
      </w:r>
      <w:r>
        <w:t xml:space="preserve"> kerosene, etc.) to determine whether there is a business case for solar. For private households, the “business case” is determined by current expenditure on energy-related products. </w:t>
      </w:r>
    </w:p>
    <w:p w14:paraId="4C253FDE" w14:textId="6D9A441B" w:rsidR="0064679B" w:rsidRDefault="0064679B" w:rsidP="0064679B">
      <w:pPr>
        <w:jc w:val="both"/>
      </w:pPr>
      <w:r>
        <w:t xml:space="preserve">We map this demand at the Commune level, using either direct Commune data or allocating regional or national-level data based on population or other relevant metrics. </w:t>
      </w:r>
      <w:fldSimple w:instr=" REF _Ref476048418 ">
        <w:r w:rsidR="000D1C35" w:rsidRPr="001B68C4">
          <w:t xml:space="preserve">Table </w:t>
        </w:r>
        <w:r w:rsidR="000D1C35">
          <w:rPr>
            <w:noProof/>
          </w:rPr>
          <w:t>2</w:t>
        </w:r>
      </w:fldSimple>
      <w:r>
        <w:t xml:space="preserve"> summarizes the overall annualized market size estimated for the different segments at the national level.</w:t>
      </w:r>
    </w:p>
    <w:p w14:paraId="3A905B79" w14:textId="664A8FB7" w:rsidR="00B10970" w:rsidRPr="001B68C4" w:rsidRDefault="00B10970" w:rsidP="00B10970">
      <w:pPr>
        <w:pStyle w:val="Caption"/>
      </w:pPr>
      <w:bookmarkStart w:id="31" w:name="_Ref476048418"/>
      <w:bookmarkStart w:id="32" w:name="_Toc476298070"/>
      <w:bookmarkStart w:id="33" w:name="_Toc500969366"/>
      <w:r w:rsidRPr="001B68C4">
        <w:t xml:space="preserve">Table </w:t>
      </w:r>
      <w:fldSimple w:instr=" SEQ Table \* ARABIC ">
        <w:r w:rsidR="000D1C35">
          <w:rPr>
            <w:noProof/>
          </w:rPr>
          <w:t>2</w:t>
        </w:r>
      </w:fldSimple>
      <w:bookmarkEnd w:id="31"/>
      <w:r w:rsidRPr="001B68C4">
        <w:t>: Solar market size by different segments</w:t>
      </w:r>
      <w:bookmarkEnd w:id="32"/>
      <w:r w:rsidR="00D15862">
        <w:rPr>
          <w:rStyle w:val="FootnoteReference"/>
        </w:rPr>
        <w:footnoteReference w:id="23"/>
      </w:r>
      <w:bookmarkEnd w:id="33"/>
    </w:p>
    <w:tbl>
      <w:tblPr>
        <w:tblStyle w:val="GridTable6Colorful"/>
        <w:tblW w:w="9355" w:type="dxa"/>
        <w:tblLook w:val="04A0" w:firstRow="1" w:lastRow="0" w:firstColumn="1" w:lastColumn="0" w:noHBand="0" w:noVBand="1"/>
      </w:tblPr>
      <w:tblGrid>
        <w:gridCol w:w="2605"/>
        <w:gridCol w:w="2250"/>
        <w:gridCol w:w="2250"/>
        <w:gridCol w:w="2250"/>
      </w:tblGrid>
      <w:tr w:rsidR="0069699F" w:rsidRPr="00842A30" w14:paraId="076ED496" w14:textId="5FE58E73" w:rsidTr="00A534B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F120E51" w14:textId="77777777" w:rsidR="0069699F" w:rsidRPr="0069699F" w:rsidRDefault="0069699F" w:rsidP="00D746C9">
            <w:pPr>
              <w:rPr>
                <w:sz w:val="20"/>
                <w:szCs w:val="20"/>
              </w:rPr>
            </w:pPr>
            <w:r w:rsidRPr="0069699F">
              <w:rPr>
                <w:sz w:val="20"/>
                <w:szCs w:val="20"/>
              </w:rPr>
              <w:t>Segment</w:t>
            </w:r>
          </w:p>
        </w:tc>
        <w:tc>
          <w:tcPr>
            <w:tcW w:w="2250" w:type="dxa"/>
            <w:vAlign w:val="center"/>
          </w:tcPr>
          <w:p w14:paraId="02BC1FB5" w14:textId="77777777" w:rsidR="0069699F" w:rsidRP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sidRPr="0069699F">
              <w:rPr>
                <w:sz w:val="20"/>
                <w:szCs w:val="20"/>
              </w:rPr>
              <w:t>Estimated annualized</w:t>
            </w:r>
          </w:p>
          <w:p w14:paraId="061913E9" w14:textId="77777777" w:rsidR="0069699F" w:rsidRP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sidRPr="0069699F">
              <w:rPr>
                <w:sz w:val="20"/>
                <w:szCs w:val="20"/>
              </w:rPr>
              <w:t xml:space="preserve">market size </w:t>
            </w:r>
            <w:r w:rsidRPr="0069699F">
              <w:rPr>
                <w:rStyle w:val="FootnoteReference"/>
                <w:sz w:val="20"/>
                <w:szCs w:val="20"/>
              </w:rPr>
              <w:footnoteReference w:id="24"/>
            </w:r>
          </w:p>
        </w:tc>
        <w:tc>
          <w:tcPr>
            <w:tcW w:w="2250" w:type="dxa"/>
            <w:vAlign w:val="center"/>
          </w:tcPr>
          <w:p w14:paraId="0FA3453E" w14:textId="77777777" w:rsid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Thereof</w:t>
            </w:r>
          </w:p>
          <w:p w14:paraId="0B1D8B1F" w14:textId="2A336CF8" w:rsidR="0069699F" w:rsidRP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sidRPr="0069699F">
              <w:rPr>
                <w:sz w:val="20"/>
                <w:szCs w:val="20"/>
              </w:rPr>
              <w:t xml:space="preserve">Lighting </w:t>
            </w:r>
            <w:r w:rsidR="003875E7">
              <w:rPr>
                <w:sz w:val="20"/>
                <w:szCs w:val="20"/>
              </w:rPr>
              <w:t>Global</w:t>
            </w:r>
          </w:p>
        </w:tc>
        <w:tc>
          <w:tcPr>
            <w:tcW w:w="2250" w:type="dxa"/>
          </w:tcPr>
          <w:p w14:paraId="676F84AB" w14:textId="77777777" w:rsid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Thereof</w:t>
            </w:r>
          </w:p>
          <w:p w14:paraId="0496B9C8" w14:textId="294CFAFB" w:rsidR="0069699F" w:rsidRPr="0069699F" w:rsidRDefault="0069699F" w:rsidP="00D746C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solar pumping kits</w:t>
            </w:r>
          </w:p>
        </w:tc>
      </w:tr>
      <w:tr w:rsidR="0069699F" w:rsidRPr="00842A30" w14:paraId="6186F6A1" w14:textId="2561E5A1" w:rsidTr="00A534B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1DE28C8" w14:textId="77777777" w:rsidR="0069699F" w:rsidRPr="0069699F" w:rsidRDefault="0069699F" w:rsidP="00D746C9">
            <w:pPr>
              <w:rPr>
                <w:b w:val="0"/>
                <w:sz w:val="20"/>
                <w:szCs w:val="20"/>
              </w:rPr>
            </w:pPr>
            <w:r w:rsidRPr="0069699F">
              <w:rPr>
                <w:b w:val="0"/>
                <w:sz w:val="20"/>
                <w:szCs w:val="20"/>
              </w:rPr>
              <w:t xml:space="preserve">Private households </w:t>
            </w:r>
            <w:bookmarkStart w:id="34" w:name="_Ref476048132"/>
            <w:r w:rsidRPr="0069699F">
              <w:rPr>
                <w:rStyle w:val="FootnoteReference"/>
                <w:b w:val="0"/>
                <w:sz w:val="20"/>
                <w:szCs w:val="20"/>
              </w:rPr>
              <w:footnoteReference w:id="25"/>
            </w:r>
            <w:bookmarkEnd w:id="34"/>
          </w:p>
        </w:tc>
        <w:tc>
          <w:tcPr>
            <w:tcW w:w="2250" w:type="dxa"/>
            <w:vAlign w:val="center"/>
          </w:tcPr>
          <w:p w14:paraId="02CF4CA1" w14:textId="32C5C52A"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r w:rsidRPr="0069699F">
              <w:rPr>
                <w:sz w:val="20"/>
                <w:szCs w:val="20"/>
              </w:rPr>
              <w:t>US $</w:t>
            </w:r>
            <w:r w:rsidR="00A534B7">
              <w:rPr>
                <w:sz w:val="20"/>
                <w:szCs w:val="20"/>
              </w:rPr>
              <w:t xml:space="preserve"> 56</w:t>
            </w:r>
            <w:r w:rsidRPr="0069699F">
              <w:rPr>
                <w:sz w:val="20"/>
                <w:szCs w:val="20"/>
              </w:rPr>
              <w:t>.5 million</w:t>
            </w:r>
          </w:p>
        </w:tc>
        <w:tc>
          <w:tcPr>
            <w:tcW w:w="2250" w:type="dxa"/>
            <w:vAlign w:val="center"/>
          </w:tcPr>
          <w:p w14:paraId="65BB67B8" w14:textId="68A434C0"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r w:rsidRPr="0069699F">
              <w:rPr>
                <w:sz w:val="20"/>
                <w:szCs w:val="20"/>
              </w:rPr>
              <w:t>US $</w:t>
            </w:r>
            <w:r w:rsidR="00A534B7">
              <w:rPr>
                <w:sz w:val="20"/>
                <w:szCs w:val="20"/>
              </w:rPr>
              <w:t xml:space="preserve"> 56</w:t>
            </w:r>
            <w:r w:rsidRPr="0069699F">
              <w:rPr>
                <w:sz w:val="20"/>
                <w:szCs w:val="20"/>
              </w:rPr>
              <w:t>.5 million</w:t>
            </w:r>
          </w:p>
        </w:tc>
        <w:tc>
          <w:tcPr>
            <w:tcW w:w="2250" w:type="dxa"/>
          </w:tcPr>
          <w:p w14:paraId="37B31F44" w14:textId="77777777"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p>
        </w:tc>
      </w:tr>
      <w:tr w:rsidR="0069699F" w:rsidRPr="00842A30" w14:paraId="5B916F36" w14:textId="6DC33C02" w:rsidTr="00A534B7">
        <w:trPr>
          <w:trHeight w:val="3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1B067D7" w14:textId="77777777" w:rsidR="0069699F" w:rsidRPr="0069699F" w:rsidRDefault="0069699F" w:rsidP="00D746C9">
            <w:pPr>
              <w:rPr>
                <w:b w:val="0"/>
                <w:sz w:val="20"/>
                <w:szCs w:val="20"/>
              </w:rPr>
            </w:pPr>
            <w:r w:rsidRPr="0069699F">
              <w:rPr>
                <w:b w:val="0"/>
                <w:sz w:val="20"/>
                <w:szCs w:val="20"/>
              </w:rPr>
              <w:t>Schools</w:t>
            </w:r>
          </w:p>
        </w:tc>
        <w:tc>
          <w:tcPr>
            <w:tcW w:w="2250" w:type="dxa"/>
            <w:vAlign w:val="center"/>
          </w:tcPr>
          <w:p w14:paraId="378C656B" w14:textId="3BD5779D"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r w:rsidRPr="0069699F">
              <w:rPr>
                <w:sz w:val="20"/>
                <w:szCs w:val="20"/>
              </w:rPr>
              <w:t>US $</w:t>
            </w:r>
            <w:r w:rsidR="00A534B7">
              <w:rPr>
                <w:sz w:val="20"/>
                <w:szCs w:val="20"/>
              </w:rPr>
              <w:t xml:space="preserve"> 1.6</w:t>
            </w:r>
            <w:r w:rsidRPr="0069699F">
              <w:rPr>
                <w:sz w:val="20"/>
                <w:szCs w:val="20"/>
              </w:rPr>
              <w:t xml:space="preserve"> million</w:t>
            </w:r>
          </w:p>
        </w:tc>
        <w:tc>
          <w:tcPr>
            <w:tcW w:w="2250" w:type="dxa"/>
            <w:vAlign w:val="center"/>
          </w:tcPr>
          <w:p w14:paraId="201B8A32" w14:textId="6F0D1F4A"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r w:rsidRPr="0069699F">
              <w:rPr>
                <w:sz w:val="20"/>
                <w:szCs w:val="20"/>
              </w:rPr>
              <w:t>US $</w:t>
            </w:r>
            <w:r w:rsidR="00A534B7">
              <w:rPr>
                <w:sz w:val="20"/>
                <w:szCs w:val="20"/>
              </w:rPr>
              <w:t xml:space="preserve"> 1.4</w:t>
            </w:r>
            <w:r w:rsidRPr="0069699F">
              <w:rPr>
                <w:sz w:val="20"/>
                <w:szCs w:val="20"/>
              </w:rPr>
              <w:t xml:space="preserve"> million</w:t>
            </w:r>
          </w:p>
        </w:tc>
        <w:tc>
          <w:tcPr>
            <w:tcW w:w="2250" w:type="dxa"/>
          </w:tcPr>
          <w:p w14:paraId="75E1FD6D"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r>
      <w:tr w:rsidR="0069699F" w:rsidRPr="00842A30" w14:paraId="08590B41" w14:textId="79C44398" w:rsidTr="00A534B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5645CA8" w14:textId="77777777" w:rsidR="0069699F" w:rsidRPr="0069699F" w:rsidRDefault="0069699F" w:rsidP="00D746C9">
            <w:pPr>
              <w:rPr>
                <w:b w:val="0"/>
                <w:sz w:val="20"/>
                <w:szCs w:val="20"/>
              </w:rPr>
            </w:pPr>
            <w:r w:rsidRPr="0069699F">
              <w:rPr>
                <w:b w:val="0"/>
                <w:sz w:val="20"/>
                <w:szCs w:val="20"/>
              </w:rPr>
              <w:t>Health centers</w:t>
            </w:r>
          </w:p>
        </w:tc>
        <w:tc>
          <w:tcPr>
            <w:tcW w:w="2250" w:type="dxa"/>
            <w:vAlign w:val="center"/>
          </w:tcPr>
          <w:p w14:paraId="26438468" w14:textId="77777777"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r w:rsidRPr="0069699F">
              <w:rPr>
                <w:sz w:val="20"/>
                <w:szCs w:val="20"/>
              </w:rPr>
              <w:t>US $ 0.4 million</w:t>
            </w:r>
          </w:p>
        </w:tc>
        <w:tc>
          <w:tcPr>
            <w:tcW w:w="2250" w:type="dxa"/>
            <w:vAlign w:val="center"/>
          </w:tcPr>
          <w:p w14:paraId="073B4880" w14:textId="77777777"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r w:rsidRPr="0069699F">
              <w:rPr>
                <w:sz w:val="20"/>
                <w:szCs w:val="20"/>
              </w:rPr>
              <w:t>US $ 0.1 million</w:t>
            </w:r>
          </w:p>
        </w:tc>
        <w:tc>
          <w:tcPr>
            <w:tcW w:w="2250" w:type="dxa"/>
          </w:tcPr>
          <w:p w14:paraId="796207F0" w14:textId="77777777" w:rsidR="0069699F" w:rsidRPr="0069699F" w:rsidRDefault="0069699F" w:rsidP="00D746C9">
            <w:pPr>
              <w:cnfStyle w:val="000000100000" w:firstRow="0" w:lastRow="0" w:firstColumn="0" w:lastColumn="0" w:oddVBand="0" w:evenVBand="0" w:oddHBand="1" w:evenHBand="0" w:firstRowFirstColumn="0" w:firstRowLastColumn="0" w:lastRowFirstColumn="0" w:lastRowLastColumn="0"/>
              <w:rPr>
                <w:sz w:val="20"/>
                <w:szCs w:val="20"/>
              </w:rPr>
            </w:pPr>
          </w:p>
        </w:tc>
      </w:tr>
      <w:tr w:rsidR="0069699F" w:rsidRPr="00842A30" w14:paraId="60F75712" w14:textId="40D78DC7" w:rsidTr="00A534B7">
        <w:trPr>
          <w:trHeight w:val="3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B116B4B" w14:textId="77777777" w:rsidR="0069699F" w:rsidRPr="0069699F" w:rsidRDefault="0069699F" w:rsidP="00D746C9">
            <w:pPr>
              <w:rPr>
                <w:b w:val="0"/>
                <w:sz w:val="20"/>
                <w:szCs w:val="20"/>
              </w:rPr>
            </w:pPr>
            <w:r w:rsidRPr="0069699F">
              <w:rPr>
                <w:b w:val="0"/>
                <w:sz w:val="20"/>
                <w:szCs w:val="20"/>
              </w:rPr>
              <w:t>Public buildings</w:t>
            </w:r>
          </w:p>
        </w:tc>
        <w:tc>
          <w:tcPr>
            <w:tcW w:w="2250" w:type="dxa"/>
            <w:vAlign w:val="center"/>
          </w:tcPr>
          <w:p w14:paraId="464DFC4E"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r w:rsidRPr="0069699F">
              <w:rPr>
                <w:sz w:val="20"/>
                <w:szCs w:val="20"/>
              </w:rPr>
              <w:t>US $ 0.4 million</w:t>
            </w:r>
          </w:p>
        </w:tc>
        <w:tc>
          <w:tcPr>
            <w:tcW w:w="2250" w:type="dxa"/>
            <w:vAlign w:val="center"/>
          </w:tcPr>
          <w:p w14:paraId="38D510EE"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Pr>
          <w:p w14:paraId="2866F46B"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r>
      <w:tr w:rsidR="00A534B7" w:rsidRPr="00842A30" w14:paraId="7AC0E622" w14:textId="77777777" w:rsidTr="00A534B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3EB4072" w14:textId="491B9ADF" w:rsidR="00A534B7" w:rsidRPr="0069699F" w:rsidRDefault="00A534B7" w:rsidP="00D746C9">
            <w:pPr>
              <w:rPr>
                <w:b w:val="0"/>
                <w:sz w:val="20"/>
                <w:szCs w:val="20"/>
              </w:rPr>
            </w:pPr>
            <w:r>
              <w:rPr>
                <w:b w:val="0"/>
                <w:sz w:val="20"/>
                <w:szCs w:val="20"/>
              </w:rPr>
              <w:t>Large irrigation schemes</w:t>
            </w:r>
          </w:p>
        </w:tc>
        <w:tc>
          <w:tcPr>
            <w:tcW w:w="2250" w:type="dxa"/>
            <w:vAlign w:val="center"/>
          </w:tcPr>
          <w:p w14:paraId="33142BA8" w14:textId="03684FA8"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 $ 1.2 million</w:t>
            </w:r>
          </w:p>
        </w:tc>
        <w:tc>
          <w:tcPr>
            <w:tcW w:w="2250" w:type="dxa"/>
            <w:vAlign w:val="center"/>
          </w:tcPr>
          <w:p w14:paraId="27DBA87F" w14:textId="77777777"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Pr>
          <w:p w14:paraId="30DBC929" w14:textId="77777777"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p>
        </w:tc>
      </w:tr>
      <w:tr w:rsidR="0069699F" w:rsidRPr="00842A30" w14:paraId="2A8A3D37" w14:textId="10BB80A5" w:rsidTr="00A534B7">
        <w:trPr>
          <w:trHeight w:val="32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BD43ADD" w14:textId="22213577" w:rsidR="0069699F" w:rsidRPr="0069699F" w:rsidRDefault="00A534B7" w:rsidP="00D746C9">
            <w:pPr>
              <w:rPr>
                <w:b w:val="0"/>
                <w:sz w:val="20"/>
                <w:szCs w:val="20"/>
              </w:rPr>
            </w:pPr>
            <w:r>
              <w:rPr>
                <w:b w:val="0"/>
                <w:sz w:val="20"/>
                <w:szCs w:val="20"/>
              </w:rPr>
              <w:t>Small scale irrigation</w:t>
            </w:r>
            <w:r w:rsidR="0069699F" w:rsidRPr="0069699F">
              <w:rPr>
                <w:b w:val="0"/>
                <w:sz w:val="20"/>
                <w:szCs w:val="20"/>
              </w:rPr>
              <w:t xml:space="preserve"> </w:t>
            </w:r>
            <w:r w:rsidR="0069699F" w:rsidRPr="0069699F">
              <w:rPr>
                <w:rStyle w:val="FootnoteReference"/>
                <w:sz w:val="20"/>
                <w:szCs w:val="20"/>
              </w:rPr>
              <w:fldChar w:fldCharType="begin"/>
            </w:r>
            <w:r w:rsidR="0069699F" w:rsidRPr="0069699F">
              <w:rPr>
                <w:rStyle w:val="FootnoteReference"/>
                <w:b w:val="0"/>
                <w:sz w:val="20"/>
                <w:szCs w:val="20"/>
              </w:rPr>
              <w:instrText xml:space="preserve"> NOTEREF _Ref476048132  \* MERGEFORMAT </w:instrText>
            </w:r>
            <w:r w:rsidR="0069699F" w:rsidRPr="0069699F">
              <w:rPr>
                <w:rStyle w:val="FootnoteReference"/>
                <w:sz w:val="20"/>
                <w:szCs w:val="20"/>
              </w:rPr>
              <w:fldChar w:fldCharType="separate"/>
            </w:r>
            <w:r w:rsidR="000D1C35">
              <w:rPr>
                <w:rStyle w:val="FootnoteReference"/>
                <w:b w:val="0"/>
                <w:sz w:val="20"/>
                <w:szCs w:val="20"/>
              </w:rPr>
              <w:t>24</w:t>
            </w:r>
            <w:r w:rsidR="0069699F" w:rsidRPr="0069699F">
              <w:rPr>
                <w:rStyle w:val="FootnoteReference"/>
                <w:sz w:val="20"/>
                <w:szCs w:val="20"/>
              </w:rPr>
              <w:fldChar w:fldCharType="end"/>
            </w:r>
          </w:p>
        </w:tc>
        <w:tc>
          <w:tcPr>
            <w:tcW w:w="2250" w:type="dxa"/>
            <w:vAlign w:val="center"/>
          </w:tcPr>
          <w:p w14:paraId="67E2E449" w14:textId="5BB4BACC"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r w:rsidRPr="0069699F">
              <w:rPr>
                <w:sz w:val="20"/>
                <w:szCs w:val="20"/>
              </w:rPr>
              <w:t xml:space="preserve">US $ </w:t>
            </w:r>
            <w:r w:rsidR="00A534B7">
              <w:rPr>
                <w:sz w:val="20"/>
                <w:szCs w:val="20"/>
              </w:rPr>
              <w:t>33.4</w:t>
            </w:r>
            <w:r w:rsidRPr="0069699F">
              <w:rPr>
                <w:sz w:val="20"/>
                <w:szCs w:val="20"/>
              </w:rPr>
              <w:t xml:space="preserve"> million</w:t>
            </w:r>
          </w:p>
        </w:tc>
        <w:tc>
          <w:tcPr>
            <w:tcW w:w="2250" w:type="dxa"/>
            <w:vAlign w:val="center"/>
          </w:tcPr>
          <w:p w14:paraId="065CA09C"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Pr>
          <w:p w14:paraId="0442F045" w14:textId="101AC70D" w:rsidR="0069699F" w:rsidRPr="0069699F" w:rsidRDefault="00A534B7" w:rsidP="00D746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 $ 29.5 million</w:t>
            </w:r>
          </w:p>
        </w:tc>
      </w:tr>
      <w:tr w:rsidR="00A534B7" w:rsidRPr="00842A30" w14:paraId="3D391B52" w14:textId="77777777" w:rsidTr="00A534B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68B67F7C" w14:textId="5EE03DE1" w:rsidR="00A534B7" w:rsidRPr="0069699F" w:rsidRDefault="00A534B7" w:rsidP="00D746C9">
            <w:pPr>
              <w:rPr>
                <w:b w:val="0"/>
                <w:sz w:val="20"/>
                <w:szCs w:val="20"/>
              </w:rPr>
            </w:pPr>
            <w:r>
              <w:rPr>
                <w:b w:val="0"/>
                <w:sz w:val="20"/>
                <w:szCs w:val="20"/>
              </w:rPr>
              <w:t>Crop processing</w:t>
            </w:r>
            <w:r>
              <w:rPr>
                <w:rStyle w:val="FootnoteReference"/>
                <w:b w:val="0"/>
                <w:sz w:val="20"/>
                <w:szCs w:val="20"/>
              </w:rPr>
              <w:footnoteReference w:id="26"/>
            </w:r>
          </w:p>
        </w:tc>
        <w:tc>
          <w:tcPr>
            <w:tcW w:w="2250" w:type="dxa"/>
            <w:vAlign w:val="center"/>
          </w:tcPr>
          <w:p w14:paraId="3C45B4BA" w14:textId="7CD88A6A"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 $ 12.5 million</w:t>
            </w:r>
          </w:p>
        </w:tc>
        <w:tc>
          <w:tcPr>
            <w:tcW w:w="2250" w:type="dxa"/>
            <w:vAlign w:val="center"/>
          </w:tcPr>
          <w:p w14:paraId="59332700" w14:textId="77777777"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Pr>
          <w:p w14:paraId="1A6C0644" w14:textId="77777777" w:rsidR="00A534B7" w:rsidRPr="0069699F" w:rsidRDefault="00A534B7" w:rsidP="00D746C9">
            <w:pPr>
              <w:cnfStyle w:val="000000100000" w:firstRow="0" w:lastRow="0" w:firstColumn="0" w:lastColumn="0" w:oddVBand="0" w:evenVBand="0" w:oddHBand="1" w:evenHBand="0" w:firstRowFirstColumn="0" w:firstRowLastColumn="0" w:lastRowFirstColumn="0" w:lastRowLastColumn="0"/>
              <w:rPr>
                <w:sz w:val="20"/>
                <w:szCs w:val="20"/>
              </w:rPr>
            </w:pPr>
          </w:p>
        </w:tc>
      </w:tr>
      <w:tr w:rsidR="0069699F" w:rsidRPr="00842A30" w14:paraId="3FE9F75F" w14:textId="17082EA2" w:rsidTr="00A534B7">
        <w:trPr>
          <w:trHeight w:val="304"/>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45B37D5" w14:textId="114DC19A" w:rsidR="0069699F" w:rsidRPr="0069699F" w:rsidRDefault="0069699F" w:rsidP="00D746C9">
            <w:pPr>
              <w:rPr>
                <w:b w:val="0"/>
                <w:sz w:val="20"/>
                <w:szCs w:val="20"/>
              </w:rPr>
            </w:pPr>
            <w:r w:rsidRPr="0069699F">
              <w:rPr>
                <w:b w:val="0"/>
                <w:sz w:val="20"/>
                <w:szCs w:val="20"/>
              </w:rPr>
              <w:t>Water p</w:t>
            </w:r>
            <w:r w:rsidR="00352C60">
              <w:rPr>
                <w:b w:val="0"/>
                <w:sz w:val="20"/>
                <w:szCs w:val="20"/>
              </w:rPr>
              <w:t>rovision</w:t>
            </w:r>
          </w:p>
        </w:tc>
        <w:tc>
          <w:tcPr>
            <w:tcW w:w="2250" w:type="dxa"/>
            <w:vAlign w:val="center"/>
          </w:tcPr>
          <w:p w14:paraId="0A79997C" w14:textId="0431DA74"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r w:rsidRPr="0069699F">
              <w:rPr>
                <w:sz w:val="20"/>
                <w:szCs w:val="20"/>
              </w:rPr>
              <w:t>US $</w:t>
            </w:r>
            <w:r w:rsidR="00AC45D6">
              <w:rPr>
                <w:sz w:val="20"/>
                <w:szCs w:val="20"/>
              </w:rPr>
              <w:t xml:space="preserve"> 96.6</w:t>
            </w:r>
            <w:r w:rsidRPr="0069699F">
              <w:rPr>
                <w:sz w:val="20"/>
                <w:szCs w:val="20"/>
              </w:rPr>
              <w:t xml:space="preserve"> million</w:t>
            </w:r>
            <w:r w:rsidR="00352C60">
              <w:rPr>
                <w:rStyle w:val="FootnoteReference"/>
                <w:sz w:val="20"/>
                <w:szCs w:val="20"/>
              </w:rPr>
              <w:footnoteReference w:id="27"/>
            </w:r>
          </w:p>
        </w:tc>
        <w:tc>
          <w:tcPr>
            <w:tcW w:w="2250" w:type="dxa"/>
            <w:vAlign w:val="center"/>
          </w:tcPr>
          <w:p w14:paraId="7601D8E0"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Pr>
          <w:p w14:paraId="2FF1ACBB" w14:textId="77777777" w:rsidR="0069699F" w:rsidRPr="0069699F" w:rsidRDefault="0069699F" w:rsidP="00D746C9">
            <w:pPr>
              <w:cnfStyle w:val="000000000000" w:firstRow="0" w:lastRow="0" w:firstColumn="0" w:lastColumn="0" w:oddVBand="0" w:evenVBand="0" w:oddHBand="0" w:evenHBand="0" w:firstRowFirstColumn="0" w:firstRowLastColumn="0" w:lastRowFirstColumn="0" w:lastRowLastColumn="0"/>
              <w:rPr>
                <w:sz w:val="20"/>
                <w:szCs w:val="20"/>
              </w:rPr>
            </w:pPr>
          </w:p>
        </w:tc>
      </w:tr>
      <w:tr w:rsidR="00352C60" w:rsidRPr="00842A30" w14:paraId="41C58ABA" w14:textId="77777777" w:rsidTr="00352C6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5" w:type="dxa"/>
            <w:tcBorders>
              <w:bottom w:val="single" w:sz="24" w:space="0" w:color="417FD0" w:themeColor="text1" w:themeTint="99"/>
            </w:tcBorders>
            <w:vAlign w:val="center"/>
          </w:tcPr>
          <w:p w14:paraId="5825DFC0" w14:textId="07863C3E" w:rsidR="00352C60" w:rsidRPr="0069699F" w:rsidRDefault="00352C60" w:rsidP="00D746C9">
            <w:pPr>
              <w:rPr>
                <w:b w:val="0"/>
                <w:sz w:val="20"/>
                <w:szCs w:val="20"/>
              </w:rPr>
            </w:pPr>
            <w:r>
              <w:rPr>
                <w:b w:val="0"/>
                <w:sz w:val="20"/>
                <w:szCs w:val="20"/>
              </w:rPr>
              <w:t>Street lights</w:t>
            </w:r>
          </w:p>
        </w:tc>
        <w:tc>
          <w:tcPr>
            <w:tcW w:w="2250" w:type="dxa"/>
            <w:tcBorders>
              <w:bottom w:val="single" w:sz="24" w:space="0" w:color="417FD0" w:themeColor="text1" w:themeTint="99"/>
            </w:tcBorders>
            <w:vAlign w:val="center"/>
          </w:tcPr>
          <w:p w14:paraId="4005B22D" w14:textId="43A4FCE8" w:rsidR="00352C60" w:rsidRPr="0069699F" w:rsidRDefault="00352C60" w:rsidP="00D746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 $ 1.0 million</w:t>
            </w:r>
            <w:r>
              <w:rPr>
                <w:rStyle w:val="FootnoteReference"/>
                <w:sz w:val="20"/>
                <w:szCs w:val="20"/>
              </w:rPr>
              <w:footnoteReference w:id="28"/>
            </w:r>
          </w:p>
        </w:tc>
        <w:tc>
          <w:tcPr>
            <w:tcW w:w="2250" w:type="dxa"/>
            <w:tcBorders>
              <w:bottom w:val="single" w:sz="24" w:space="0" w:color="417FD0" w:themeColor="text1" w:themeTint="99"/>
            </w:tcBorders>
            <w:vAlign w:val="center"/>
          </w:tcPr>
          <w:p w14:paraId="359131A1" w14:textId="77777777" w:rsidR="00352C60" w:rsidRPr="0069699F" w:rsidRDefault="00352C60" w:rsidP="00D746C9">
            <w:pP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bottom w:val="single" w:sz="24" w:space="0" w:color="417FD0" w:themeColor="text1" w:themeTint="99"/>
            </w:tcBorders>
          </w:tcPr>
          <w:p w14:paraId="1E29B9B1" w14:textId="77777777" w:rsidR="00352C60" w:rsidRPr="0069699F" w:rsidRDefault="00352C60" w:rsidP="00D746C9">
            <w:pPr>
              <w:cnfStyle w:val="000000100000" w:firstRow="0" w:lastRow="0" w:firstColumn="0" w:lastColumn="0" w:oddVBand="0" w:evenVBand="0" w:oddHBand="1" w:evenHBand="0" w:firstRowFirstColumn="0" w:firstRowLastColumn="0" w:lastRowFirstColumn="0" w:lastRowLastColumn="0"/>
              <w:rPr>
                <w:sz w:val="20"/>
                <w:szCs w:val="20"/>
              </w:rPr>
            </w:pPr>
          </w:p>
        </w:tc>
      </w:tr>
      <w:tr w:rsidR="0069699F" w:rsidRPr="00842A30" w14:paraId="0A143DDD" w14:textId="657C5E65" w:rsidTr="00352C60">
        <w:trPr>
          <w:trHeight w:val="320"/>
        </w:trPr>
        <w:tc>
          <w:tcPr>
            <w:cnfStyle w:val="001000000000" w:firstRow="0" w:lastRow="0" w:firstColumn="1" w:lastColumn="0" w:oddVBand="0" w:evenVBand="0" w:oddHBand="0" w:evenHBand="0" w:firstRowFirstColumn="0" w:firstRowLastColumn="0" w:lastRowFirstColumn="0" w:lastRowLastColumn="0"/>
            <w:tcW w:w="2605" w:type="dxa"/>
            <w:tcBorders>
              <w:top w:val="single" w:sz="24" w:space="0" w:color="417FD0" w:themeColor="text1" w:themeTint="99"/>
              <w:left w:val="nil"/>
              <w:bottom w:val="nil"/>
              <w:right w:val="nil"/>
            </w:tcBorders>
            <w:vAlign w:val="center"/>
          </w:tcPr>
          <w:p w14:paraId="0DC3C3DE" w14:textId="77777777" w:rsidR="0069699F" w:rsidRPr="00352C60" w:rsidRDefault="0069699F" w:rsidP="00D746C9">
            <w:pPr>
              <w:rPr>
                <w:sz w:val="20"/>
                <w:szCs w:val="20"/>
              </w:rPr>
            </w:pPr>
            <w:r w:rsidRPr="00352C60">
              <w:rPr>
                <w:sz w:val="20"/>
                <w:szCs w:val="20"/>
              </w:rPr>
              <w:t>Total</w:t>
            </w:r>
          </w:p>
        </w:tc>
        <w:tc>
          <w:tcPr>
            <w:tcW w:w="2250" w:type="dxa"/>
            <w:tcBorders>
              <w:top w:val="single" w:sz="24" w:space="0" w:color="417FD0" w:themeColor="text1" w:themeTint="99"/>
              <w:left w:val="nil"/>
              <w:bottom w:val="nil"/>
              <w:right w:val="nil"/>
            </w:tcBorders>
            <w:vAlign w:val="center"/>
          </w:tcPr>
          <w:p w14:paraId="2A3DD2A6" w14:textId="5E0232E7" w:rsidR="0069699F" w:rsidRPr="00352C60" w:rsidRDefault="0069699F" w:rsidP="00D746C9">
            <w:pPr>
              <w:cnfStyle w:val="000000000000" w:firstRow="0" w:lastRow="0" w:firstColumn="0" w:lastColumn="0" w:oddVBand="0" w:evenVBand="0" w:oddHBand="0" w:evenHBand="0" w:firstRowFirstColumn="0" w:firstRowLastColumn="0" w:lastRowFirstColumn="0" w:lastRowLastColumn="0"/>
              <w:rPr>
                <w:b/>
                <w:sz w:val="20"/>
                <w:szCs w:val="20"/>
              </w:rPr>
            </w:pPr>
            <w:r w:rsidRPr="00352C60">
              <w:rPr>
                <w:b/>
                <w:sz w:val="20"/>
                <w:szCs w:val="20"/>
              </w:rPr>
              <w:t xml:space="preserve">US $ </w:t>
            </w:r>
            <w:r w:rsidR="00AC45D6">
              <w:rPr>
                <w:b/>
                <w:sz w:val="20"/>
                <w:szCs w:val="20"/>
              </w:rPr>
              <w:t>203.6</w:t>
            </w:r>
            <w:r w:rsidR="00AE43E4">
              <w:rPr>
                <w:b/>
                <w:sz w:val="20"/>
                <w:szCs w:val="20"/>
              </w:rPr>
              <w:t xml:space="preserve"> </w:t>
            </w:r>
            <w:r w:rsidRPr="00352C60">
              <w:rPr>
                <w:b/>
                <w:sz w:val="20"/>
                <w:szCs w:val="20"/>
              </w:rPr>
              <w:t>million</w:t>
            </w:r>
          </w:p>
        </w:tc>
        <w:tc>
          <w:tcPr>
            <w:tcW w:w="2250" w:type="dxa"/>
            <w:tcBorders>
              <w:top w:val="single" w:sz="24" w:space="0" w:color="417FD0" w:themeColor="text1" w:themeTint="99"/>
              <w:left w:val="nil"/>
              <w:bottom w:val="nil"/>
              <w:right w:val="nil"/>
            </w:tcBorders>
            <w:vAlign w:val="center"/>
          </w:tcPr>
          <w:p w14:paraId="20C6EA39" w14:textId="07F9DEA5" w:rsidR="0069699F" w:rsidRPr="00352C60" w:rsidRDefault="0069699F" w:rsidP="00D746C9">
            <w:pPr>
              <w:cnfStyle w:val="000000000000" w:firstRow="0" w:lastRow="0" w:firstColumn="0" w:lastColumn="0" w:oddVBand="0" w:evenVBand="0" w:oddHBand="0" w:evenHBand="0" w:firstRowFirstColumn="0" w:firstRowLastColumn="0" w:lastRowFirstColumn="0" w:lastRowLastColumn="0"/>
              <w:rPr>
                <w:b/>
                <w:sz w:val="20"/>
                <w:szCs w:val="20"/>
              </w:rPr>
            </w:pPr>
            <w:r w:rsidRPr="00352C60">
              <w:rPr>
                <w:b/>
                <w:sz w:val="20"/>
                <w:szCs w:val="20"/>
              </w:rPr>
              <w:t>US $</w:t>
            </w:r>
            <w:r w:rsidR="00BF57DA">
              <w:rPr>
                <w:b/>
                <w:sz w:val="20"/>
                <w:szCs w:val="20"/>
              </w:rPr>
              <w:t xml:space="preserve"> 58.0</w:t>
            </w:r>
            <w:r w:rsidRPr="00352C60">
              <w:rPr>
                <w:b/>
                <w:sz w:val="20"/>
                <w:szCs w:val="20"/>
              </w:rPr>
              <w:t xml:space="preserve"> million</w:t>
            </w:r>
          </w:p>
        </w:tc>
        <w:tc>
          <w:tcPr>
            <w:tcW w:w="2250" w:type="dxa"/>
            <w:tcBorders>
              <w:top w:val="single" w:sz="24" w:space="0" w:color="417FD0" w:themeColor="text1" w:themeTint="99"/>
              <w:left w:val="nil"/>
              <w:bottom w:val="nil"/>
              <w:right w:val="nil"/>
            </w:tcBorders>
          </w:tcPr>
          <w:p w14:paraId="6F3E2813" w14:textId="488123F9" w:rsidR="0069699F" w:rsidRPr="00352C60" w:rsidRDefault="00F5628E" w:rsidP="00D746C9">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US $ 29.5 million</w:t>
            </w:r>
          </w:p>
        </w:tc>
      </w:tr>
    </w:tbl>
    <w:p w14:paraId="6FED49E8" w14:textId="77777777" w:rsidR="00B10970" w:rsidRDefault="00B10970" w:rsidP="0064679B">
      <w:pPr>
        <w:jc w:val="both"/>
      </w:pPr>
    </w:p>
    <w:p w14:paraId="0D4974FB" w14:textId="5DC47BB4" w:rsidR="00BE03DA" w:rsidRPr="006636E5" w:rsidRDefault="00BE03DA" w:rsidP="0064679B">
      <w:pPr>
        <w:jc w:val="both"/>
      </w:pPr>
      <w:r>
        <w:t>Overall, we estimate the annualized market for solar technology for the customer segments included in the scope of this research at arou</w:t>
      </w:r>
      <w:r w:rsidR="0026777C">
        <w:t>nd US $</w:t>
      </w:r>
      <w:r w:rsidR="00DF5EBB">
        <w:t>204</w:t>
      </w:r>
      <w:r>
        <w:t xml:space="preserve"> million; component systems (i.e. PV installations, in which individual components, such as solar panels, batteries, inverters, and if required pumps, a</w:t>
      </w:r>
      <w:r w:rsidR="00DF5EBB">
        <w:t>re combined) represent around 57</w:t>
      </w:r>
      <w:r>
        <w:t xml:space="preserve">% of the market; in addition, there is an opportunity for </w:t>
      </w:r>
      <w:r w:rsidR="003875E7">
        <w:t xml:space="preserve">Lighting Global </w:t>
      </w:r>
      <w:r w:rsidR="00FA3A95">
        <w:t>quality-verified</w:t>
      </w:r>
      <w:r>
        <w:t xml:space="preserve"> solar lanterns and solar home s</w:t>
      </w:r>
      <w:r w:rsidR="0026777C">
        <w:t>ystems</w:t>
      </w:r>
      <w:r w:rsidR="00FA3A95">
        <w:t>,</w:t>
      </w:r>
      <w:r w:rsidR="0026777C">
        <w:t xml:space="preserve"> which represent </w:t>
      </w:r>
      <w:r w:rsidR="00DF5EBB">
        <w:t>around 28</w:t>
      </w:r>
      <w:r>
        <w:t>% of the market, and small solar pumpi</w:t>
      </w:r>
      <w:r w:rsidR="0026777C">
        <w:t>n</w:t>
      </w:r>
      <w:r w:rsidR="009F3F61">
        <w:t>g kits which represent around 15</w:t>
      </w:r>
      <w:r>
        <w:t>% of the market.</w:t>
      </w:r>
      <w:r w:rsidR="006636E5">
        <w:t xml:space="preserve"> </w:t>
      </w:r>
    </w:p>
    <w:p w14:paraId="4C0FFCB1" w14:textId="3D26EF4E" w:rsidR="0064679B" w:rsidRPr="00507F50" w:rsidRDefault="0064679B" w:rsidP="0064679B">
      <w:pPr>
        <w:jc w:val="both"/>
      </w:pPr>
      <w:r>
        <w:lastRenderedPageBreak/>
        <w:t xml:space="preserve">Note that the term “market size” in this section does not take into account the existence of a private sector and infrastructure necessary to actually serve this market. Nor does it account </w:t>
      </w:r>
      <w:r w:rsidR="00760382">
        <w:t xml:space="preserve">for </w:t>
      </w:r>
      <w:r>
        <w:t xml:space="preserve">lacking consumer awareness around solar technology or individual preferences for certain power sources. Rather, it is </w:t>
      </w:r>
      <w:r w:rsidRPr="00507F50">
        <w:t>an estimate of the market that would arise if energy users who could achieve cost savings by switching from traditional power sources to solar actually chose to make this switch. The terms “market size” and “demand” are used interchangeably.</w:t>
      </w:r>
      <w:r w:rsidR="00273158" w:rsidRPr="00507F50">
        <w:t xml:space="preserve"> Also, the market sizing is based on benc</w:t>
      </w:r>
      <w:r w:rsidR="003A4E12" w:rsidRPr="00507F50">
        <w:t>hmark solar prices assuming</w:t>
      </w:r>
      <w:r w:rsidR="00273158" w:rsidRPr="00507F50">
        <w:t xml:space="preserve"> the high Nigerien import duties are removed.</w:t>
      </w:r>
    </w:p>
    <w:p w14:paraId="1C5DF25D" w14:textId="43C4EAA9" w:rsidR="0064679B" w:rsidRDefault="0064679B" w:rsidP="0064679B">
      <w:pPr>
        <w:jc w:val="both"/>
      </w:pPr>
      <w:r w:rsidRPr="00507F50">
        <w:t xml:space="preserve">The rest of this section covers in detail </w:t>
      </w:r>
      <w:r w:rsidR="00D51765">
        <w:t xml:space="preserve">the </w:t>
      </w:r>
      <w:r w:rsidRPr="00507F50">
        <w:t>results of this demand assessment for each segment. We also map th</w:t>
      </w:r>
      <w:r w:rsidR="00B10970" w:rsidRPr="00507F50">
        <w:t>e aggregate</w:t>
      </w:r>
      <w:r w:rsidRPr="00507F50">
        <w:t xml:space="preserve"> demand geog</w:t>
      </w:r>
      <w:r w:rsidR="00B10970" w:rsidRPr="00507F50">
        <w:t>raphically at th</w:t>
      </w:r>
      <w:r w:rsidR="002F7369" w:rsidRPr="00507F50">
        <w:t>e Commune</w:t>
      </w:r>
      <w:r w:rsidR="002F7369">
        <w:t xml:space="preserve"> level, as shown in </w:t>
      </w:r>
      <w:r w:rsidR="002F7369">
        <w:fldChar w:fldCharType="begin"/>
      </w:r>
      <w:r w:rsidR="002F7369">
        <w:instrText xml:space="preserve"> REF _Ref477455612 \h </w:instrText>
      </w:r>
      <w:r w:rsidR="002F7369">
        <w:fldChar w:fldCharType="separate"/>
      </w:r>
      <w:r w:rsidR="000D1C35">
        <w:t xml:space="preserve">Figure </w:t>
      </w:r>
      <w:r w:rsidR="000D1C35">
        <w:rPr>
          <w:noProof/>
        </w:rPr>
        <w:t>7</w:t>
      </w:r>
      <w:r w:rsidR="002F7369">
        <w:fldChar w:fldCharType="end"/>
      </w:r>
      <w:r w:rsidR="00B10970">
        <w:t>.</w:t>
      </w:r>
      <w:r w:rsidR="00D51765">
        <w:t xml:space="preserve"> Further information on the methodology and assumptions made for this analysis is presented in Appendix B.</w:t>
      </w:r>
      <w:r w:rsidR="00B10970">
        <w:t xml:space="preserve"> </w:t>
      </w:r>
      <w:r>
        <w:t xml:space="preserve"> </w:t>
      </w:r>
    </w:p>
    <w:p w14:paraId="6E6889C6" w14:textId="77777777" w:rsidR="00E20F15" w:rsidRDefault="00E20F15" w:rsidP="0064679B">
      <w:pPr>
        <w:rPr>
          <w:color w:val="FF0000"/>
          <w:highlight w:val="yellow"/>
        </w:rPr>
        <w:sectPr w:rsidR="00E20F15" w:rsidSect="00E50990">
          <w:pgSz w:w="12240" w:h="15840"/>
          <w:pgMar w:top="1440" w:right="1440" w:bottom="1440" w:left="1440" w:header="720" w:footer="720" w:gutter="0"/>
          <w:cols w:space="720"/>
          <w:titlePg/>
          <w:docGrid w:linePitch="360"/>
        </w:sectPr>
      </w:pPr>
    </w:p>
    <w:p w14:paraId="01BF9504" w14:textId="6DC25E33" w:rsidR="008E2F87" w:rsidRDefault="008E2F87" w:rsidP="008E2F87">
      <w:pPr>
        <w:pStyle w:val="Caption"/>
      </w:pPr>
      <w:bookmarkStart w:id="35" w:name="_Ref477455612"/>
      <w:bookmarkStart w:id="36" w:name="_Toc500969344"/>
      <w:r>
        <w:lastRenderedPageBreak/>
        <w:t xml:space="preserve">Figure </w:t>
      </w:r>
      <w:fldSimple w:instr=" SEQ Figure \* ARABIC ">
        <w:r w:rsidR="000D1C35">
          <w:rPr>
            <w:noProof/>
          </w:rPr>
          <w:t>7</w:t>
        </w:r>
      </w:fldSimple>
      <w:bookmarkEnd w:id="35"/>
      <w:r>
        <w:t>: Map of electricity demand for selective consumer segments (annual demand in GWh)</w:t>
      </w:r>
      <w:r>
        <w:rPr>
          <w:rStyle w:val="FootnoteReference"/>
        </w:rPr>
        <w:footnoteReference w:id="29"/>
      </w:r>
      <w:bookmarkEnd w:id="36"/>
    </w:p>
    <w:p w14:paraId="6BE0025A" w14:textId="5BAE8807" w:rsidR="00E44C06" w:rsidRPr="00E44B45" w:rsidRDefault="00643C28">
      <w:pPr>
        <w:rPr>
          <w:rFonts w:eastAsiaTheme="majorEastAsia" w:cs="Segoe UI"/>
          <w:b/>
          <w:bCs/>
          <w:color w:val="ADD2D7" w:themeColor="accent1"/>
          <w:sz w:val="26"/>
          <w:szCs w:val="26"/>
          <w:lang w:val="de-DE"/>
        </w:rPr>
      </w:pPr>
      <w:r w:rsidRPr="00643C28">
        <w:rPr>
          <w:rFonts w:cs="Segoe UI"/>
          <w:noProof/>
        </w:rPr>
        <w:drawing>
          <wp:inline distT="0" distB="0" distL="0" distR="0" wp14:anchorId="380C069A" wp14:editId="323E9E64">
            <wp:extent cx="8125021" cy="5172075"/>
            <wp:effectExtent l="0" t="0" r="9525"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8128216" cy="5174109"/>
                    </a:xfrm>
                    <a:prstGeom prst="rect">
                      <a:avLst/>
                    </a:prstGeom>
                  </pic:spPr>
                </pic:pic>
              </a:graphicData>
            </a:graphic>
          </wp:inline>
        </w:drawing>
      </w:r>
      <w:r w:rsidR="00E44C06">
        <w:rPr>
          <w:rFonts w:cs="Segoe UI"/>
        </w:rPr>
        <w:br w:type="page"/>
      </w:r>
    </w:p>
    <w:p w14:paraId="2A6051CF" w14:textId="77777777" w:rsidR="00C95D0B" w:rsidRDefault="00C95D0B" w:rsidP="00C75CB5">
      <w:pPr>
        <w:pStyle w:val="H2NEWreportStyle"/>
        <w:sectPr w:rsidR="00C95D0B" w:rsidSect="00C95D0B">
          <w:pgSz w:w="15840" w:h="12240" w:orient="landscape"/>
          <w:pgMar w:top="1440" w:right="1440" w:bottom="1440" w:left="1440" w:header="720" w:footer="720" w:gutter="0"/>
          <w:cols w:space="720"/>
          <w:titlePg/>
          <w:docGrid w:linePitch="360"/>
        </w:sectPr>
      </w:pPr>
    </w:p>
    <w:p w14:paraId="00B47470" w14:textId="7521BD19" w:rsidR="002A1E01" w:rsidRPr="00C75CB5" w:rsidRDefault="002A1E01" w:rsidP="00C75CB5">
      <w:pPr>
        <w:pStyle w:val="H2NEWreportStyle"/>
      </w:pPr>
      <w:bookmarkStart w:id="37" w:name="_Toc501097029"/>
      <w:r w:rsidRPr="00C75CB5">
        <w:lastRenderedPageBreak/>
        <w:t>Households</w:t>
      </w:r>
      <w:bookmarkEnd w:id="30"/>
      <w:bookmarkEnd w:id="37"/>
    </w:p>
    <w:p w14:paraId="35C01D5B" w14:textId="767857A0" w:rsidR="0064679B" w:rsidRPr="0064679B" w:rsidRDefault="00E618F5" w:rsidP="0064679B">
      <w:pPr>
        <w:jc w:val="both"/>
        <w:rPr>
          <w:rFonts w:cs="Segoe UI"/>
        </w:rPr>
      </w:pPr>
      <w:r w:rsidRPr="0064679B">
        <w:rPr>
          <w:rFonts w:cs="Segoe UI"/>
          <w:noProof/>
        </w:rPr>
        <mc:AlternateContent>
          <mc:Choice Requires="wps">
            <w:drawing>
              <wp:anchor distT="0" distB="0" distL="114300" distR="114300" simplePos="0" relativeHeight="251730944" behindDoc="0" locked="0" layoutInCell="1" allowOverlap="1" wp14:anchorId="56C28F6F" wp14:editId="1F34113F">
                <wp:simplePos x="0" y="0"/>
                <wp:positionH relativeFrom="margin">
                  <wp:align>right</wp:align>
                </wp:positionH>
                <wp:positionV relativeFrom="paragraph">
                  <wp:posOffset>1427480</wp:posOffset>
                </wp:positionV>
                <wp:extent cx="5925185" cy="5566410"/>
                <wp:effectExtent l="0" t="0" r="18415" b="15240"/>
                <wp:wrapSquare wrapText="bothSides"/>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5566410"/>
                        </a:xfrm>
                        <a:prstGeom prst="rect">
                          <a:avLst/>
                        </a:prstGeom>
                        <a:solidFill>
                          <a:srgbClr val="84BCC4">
                            <a:lumMod val="20000"/>
                            <a:lumOff val="80000"/>
                          </a:srgbClr>
                        </a:solidFill>
                        <a:ln w="15875">
                          <a:solidFill>
                            <a:srgbClr val="FFFFFF">
                              <a:lumMod val="50000"/>
                              <a:alpha val="91000"/>
                            </a:srgbClr>
                          </a:solidFill>
                        </a:ln>
                        <a:effectLst/>
                        <a:extLst/>
                      </wps:spPr>
                      <wps:txbx>
                        <w:txbxContent>
                          <w:p w14:paraId="28E1DDE5" w14:textId="77777777" w:rsidR="00BB3453" w:rsidRPr="006A5E47" w:rsidRDefault="00BB3453" w:rsidP="00952FE8">
                            <w:pPr>
                              <w:spacing w:before="240" w:after="300" w:line="240" w:lineRule="auto"/>
                              <w:rPr>
                                <w:rFonts w:eastAsiaTheme="majorEastAsia" w:cs="Segoe UI"/>
                                <w:color w:val="ADD2D7" w:themeColor="accent1"/>
                                <w:sz w:val="32"/>
                                <w:szCs w:val="32"/>
                              </w:rPr>
                            </w:pPr>
                            <w:r>
                              <w:rPr>
                                <w:rFonts w:eastAsiaTheme="majorEastAsia" w:cs="Segoe UI"/>
                                <w:color w:val="ADD2D7" w:themeColor="accent1"/>
                                <w:sz w:val="32"/>
                                <w:szCs w:val="32"/>
                              </w:rPr>
                              <w:t>Key insights from focus groups held in Niger</w:t>
                            </w:r>
                          </w:p>
                          <w:p w14:paraId="7C0A73F4"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 xml:space="preserve">Across all 6 focus groups, only 8 of around 90 participants (~ 9%) use or have used solar products, all of them low-quality imitation brands; of the 8 solar users, 3 used solar lanterns, and 5 used small solar home systems. </w:t>
                            </w:r>
                          </w:p>
                          <w:p w14:paraId="380F48B5"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Across all socio-economic levels, LED flashlights are the main source of lighting for off-grid households (90% of participants); a few more affluent households use fuel generators or solar home systems.</w:t>
                            </w:r>
                          </w:p>
                          <w:p w14:paraId="3D652557"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The three key reasons for the limited uptake of solar products are:</w:t>
                            </w:r>
                          </w:p>
                          <w:p w14:paraId="6C564F6C"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sidRPr="003A2C22">
                              <w:rPr>
                                <w:rFonts w:cs="Segoe UI"/>
                                <w:b/>
                                <w:color w:val="366092" w:themeColor="text2"/>
                                <w:sz w:val="18"/>
                                <w:szCs w:val="18"/>
                              </w:rPr>
                              <w:t xml:space="preserve">Non-availability. </w:t>
                            </w:r>
                            <w:r>
                              <w:rPr>
                                <w:rFonts w:cs="Segoe UI"/>
                                <w:color w:val="366092" w:themeColor="text2"/>
                                <w:sz w:val="18"/>
                                <w:szCs w:val="18"/>
                              </w:rPr>
                              <w:t>Some participants did not think solar products were available in Niger yet.</w:t>
                            </w:r>
                          </w:p>
                          <w:p w14:paraId="4631D3C0"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Pr>
                                <w:rFonts w:cs="Segoe UI"/>
                                <w:b/>
                                <w:color w:val="366092" w:themeColor="text2"/>
                                <w:sz w:val="18"/>
                                <w:szCs w:val="18"/>
                              </w:rPr>
                              <w:t xml:space="preserve">Affordability. </w:t>
                            </w:r>
                            <w:r>
                              <w:rPr>
                                <w:rFonts w:cs="Segoe UI"/>
                                <w:color w:val="366092" w:themeColor="text2"/>
                                <w:sz w:val="18"/>
                                <w:szCs w:val="18"/>
                              </w:rPr>
                              <w:t>Many of the participants earn below US $2 per day, so solar products are perceived as very expensive; only few participants were aware of consumer financing schemes.</w:t>
                            </w:r>
                          </w:p>
                          <w:p w14:paraId="00954DC9"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Pr>
                                <w:rFonts w:cs="Segoe UI"/>
                                <w:b/>
                                <w:color w:val="366092" w:themeColor="text2"/>
                                <w:sz w:val="18"/>
                                <w:szCs w:val="18"/>
                              </w:rPr>
                              <w:t xml:space="preserve">Quality of solar products. </w:t>
                            </w:r>
                            <w:r>
                              <w:rPr>
                                <w:rFonts w:cs="Segoe UI"/>
                                <w:color w:val="366092" w:themeColor="text2"/>
                                <w:sz w:val="18"/>
                                <w:szCs w:val="18"/>
                              </w:rPr>
                              <w:t xml:space="preserve">Users and non-users of solar products alike, all think of small solar products as non-durable. Solar lanterns often break in less than a month, and the solar home systems require frequent, expensive battery replacements, often every 6 months. </w:t>
                            </w:r>
                          </w:p>
                          <w:p w14:paraId="7AD5D41C"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In other cases, solar traders demanded upfront payments and never returned, leading to mistrust of solar vendors.</w:t>
                            </w:r>
                          </w:p>
                          <w:p w14:paraId="783729EF" w14:textId="77777777" w:rsidR="00BB3453" w:rsidRPr="00FB78D3" w:rsidRDefault="00BB3453" w:rsidP="006A7E1D">
                            <w:pPr>
                              <w:numPr>
                                <w:ilvl w:val="0"/>
                                <w:numId w:val="16"/>
                              </w:numPr>
                              <w:spacing w:after="90"/>
                              <w:jc w:val="both"/>
                              <w:rPr>
                                <w:rFonts w:cs="Segoe UI"/>
                                <w:color w:val="366092" w:themeColor="text2"/>
                                <w:sz w:val="18"/>
                                <w:szCs w:val="18"/>
                              </w:rPr>
                            </w:pPr>
                            <w:r w:rsidRPr="0092741C">
                              <w:rPr>
                                <w:rFonts w:cs="Segoe UI"/>
                                <w:color w:val="366092" w:themeColor="text2"/>
                                <w:sz w:val="18"/>
                                <w:szCs w:val="18"/>
                              </w:rPr>
                              <w:t xml:space="preserve">Many participants </w:t>
                            </w:r>
                            <w:r>
                              <w:rPr>
                                <w:rFonts w:cs="Segoe UI"/>
                                <w:color w:val="366092" w:themeColor="text2"/>
                                <w:sz w:val="18"/>
                                <w:szCs w:val="18"/>
                              </w:rPr>
                              <w:t xml:space="preserve">would </w:t>
                            </w:r>
                            <w:r w:rsidRPr="007333E7">
                              <w:rPr>
                                <w:rFonts w:cs="Segoe UI"/>
                                <w:b/>
                                <w:color w:val="366092" w:themeColor="text2"/>
                                <w:sz w:val="18"/>
                                <w:szCs w:val="18"/>
                              </w:rPr>
                              <w:t>purchase</w:t>
                            </w:r>
                            <w:r>
                              <w:rPr>
                                <w:rFonts w:cs="Segoe UI"/>
                                <w:b/>
                                <w:color w:val="366092" w:themeColor="text2"/>
                                <w:sz w:val="18"/>
                                <w:szCs w:val="18"/>
                              </w:rPr>
                              <w:t xml:space="preserve"> solar</w:t>
                            </w:r>
                            <w:r w:rsidRPr="007333E7">
                              <w:rPr>
                                <w:rFonts w:cs="Segoe UI"/>
                                <w:b/>
                                <w:color w:val="366092" w:themeColor="text2"/>
                                <w:sz w:val="18"/>
                                <w:szCs w:val="18"/>
                              </w:rPr>
                              <w:t xml:space="preserve"> if</w:t>
                            </w:r>
                            <w:r>
                              <w:rPr>
                                <w:rFonts w:cs="Segoe UI"/>
                                <w:b/>
                                <w:color w:val="366092" w:themeColor="text2"/>
                                <w:sz w:val="18"/>
                                <w:szCs w:val="18"/>
                              </w:rPr>
                              <w:t xml:space="preserve"> good </w:t>
                            </w:r>
                            <w:r w:rsidRPr="0092741C">
                              <w:rPr>
                                <w:rFonts w:cs="Segoe UI"/>
                                <w:b/>
                                <w:color w:val="366092" w:themeColor="text2"/>
                                <w:sz w:val="18"/>
                                <w:szCs w:val="18"/>
                              </w:rPr>
                              <w:t>produc</w:t>
                            </w:r>
                            <w:r>
                              <w:rPr>
                                <w:rFonts w:cs="Segoe UI"/>
                                <w:b/>
                                <w:color w:val="366092" w:themeColor="text2"/>
                                <w:sz w:val="18"/>
                                <w:szCs w:val="18"/>
                              </w:rPr>
                              <w:t>ts were</w:t>
                            </w:r>
                            <w:r w:rsidRPr="0092741C">
                              <w:rPr>
                                <w:rFonts w:cs="Segoe UI"/>
                                <w:b/>
                                <w:color w:val="366092" w:themeColor="text2"/>
                                <w:sz w:val="18"/>
                                <w:szCs w:val="18"/>
                              </w:rPr>
                              <w:t xml:space="preserve"> available</w:t>
                            </w:r>
                            <w:r>
                              <w:rPr>
                                <w:rFonts w:cs="Segoe UI"/>
                                <w:b/>
                                <w:color w:val="366092" w:themeColor="text2"/>
                                <w:sz w:val="18"/>
                                <w:szCs w:val="18"/>
                              </w:rPr>
                              <w:t xml:space="preserve"> and affordable</w:t>
                            </w:r>
                          </w:p>
                          <w:p w14:paraId="7750B3A0" w14:textId="77777777" w:rsidR="00BB3453" w:rsidRDefault="00BB3453" w:rsidP="006A7E1D">
                            <w:pPr>
                              <w:numPr>
                                <w:ilvl w:val="1"/>
                                <w:numId w:val="24"/>
                              </w:numPr>
                              <w:spacing w:after="90"/>
                              <w:ind w:left="1260"/>
                              <w:jc w:val="both"/>
                              <w:rPr>
                                <w:rFonts w:cs="Segoe UI"/>
                                <w:color w:val="366092" w:themeColor="text2"/>
                                <w:sz w:val="18"/>
                                <w:szCs w:val="18"/>
                              </w:rPr>
                            </w:pPr>
                            <w:r w:rsidRPr="00FB78D3">
                              <w:rPr>
                                <w:rFonts w:cs="Segoe UI"/>
                                <w:color w:val="366092" w:themeColor="text2"/>
                                <w:sz w:val="18"/>
                                <w:szCs w:val="18"/>
                              </w:rPr>
                              <w:t xml:space="preserve">Solar </w:t>
                            </w:r>
                            <w:r>
                              <w:rPr>
                                <w:rFonts w:cs="Segoe UI"/>
                                <w:color w:val="366092" w:themeColor="text2"/>
                                <w:sz w:val="18"/>
                                <w:szCs w:val="18"/>
                              </w:rPr>
                              <w:t xml:space="preserve">was </w:t>
                            </w:r>
                            <w:r w:rsidRPr="00FB78D3">
                              <w:rPr>
                                <w:rFonts w:cs="Segoe UI"/>
                                <w:color w:val="366092" w:themeColor="text2"/>
                                <w:sz w:val="18"/>
                                <w:szCs w:val="18"/>
                              </w:rPr>
                              <w:t>often considered as brighter, safer</w:t>
                            </w:r>
                            <w:r>
                              <w:rPr>
                                <w:rFonts w:cs="Segoe UI"/>
                                <w:color w:val="366092" w:themeColor="text2"/>
                                <w:sz w:val="18"/>
                                <w:szCs w:val="18"/>
                              </w:rPr>
                              <w:t>,</w:t>
                            </w:r>
                            <w:r w:rsidRPr="00FB78D3">
                              <w:rPr>
                                <w:rFonts w:cs="Segoe UI"/>
                                <w:color w:val="366092" w:themeColor="text2"/>
                                <w:sz w:val="18"/>
                                <w:szCs w:val="18"/>
                              </w:rPr>
                              <w:t xml:space="preserve"> and cheaper in the long run than alternative</w:t>
                            </w:r>
                            <w:r>
                              <w:rPr>
                                <w:rFonts w:cs="Segoe UI"/>
                                <w:color w:val="366092" w:themeColor="text2"/>
                                <w:sz w:val="18"/>
                                <w:szCs w:val="18"/>
                              </w:rPr>
                              <w:t>s</w:t>
                            </w:r>
                          </w:p>
                          <w:p w14:paraId="6E08006D" w14:textId="77777777" w:rsidR="00BB3453" w:rsidRDefault="00BB3453" w:rsidP="006A7E1D">
                            <w:pPr>
                              <w:numPr>
                                <w:ilvl w:val="1"/>
                                <w:numId w:val="24"/>
                              </w:numPr>
                              <w:spacing w:after="90"/>
                              <w:ind w:left="1260"/>
                              <w:jc w:val="both"/>
                              <w:rPr>
                                <w:rFonts w:cs="Segoe UI"/>
                                <w:color w:val="366092" w:themeColor="text2"/>
                                <w:sz w:val="18"/>
                                <w:szCs w:val="18"/>
                              </w:rPr>
                            </w:pPr>
                            <w:r>
                              <w:rPr>
                                <w:rFonts w:cs="Segoe UI"/>
                                <w:color w:val="366092" w:themeColor="text2"/>
                                <w:sz w:val="18"/>
                                <w:szCs w:val="18"/>
                              </w:rPr>
                              <w:t xml:space="preserve">Strong demand for domestic </w:t>
                            </w:r>
                            <w:r w:rsidRPr="00755703">
                              <w:rPr>
                                <w:rFonts w:cs="Segoe UI"/>
                                <w:b/>
                                <w:color w:val="366092" w:themeColor="text2"/>
                                <w:sz w:val="18"/>
                                <w:szCs w:val="18"/>
                              </w:rPr>
                              <w:t>mobile phone charging</w:t>
                            </w:r>
                            <w:r>
                              <w:rPr>
                                <w:rFonts w:cs="Segoe UI"/>
                                <w:color w:val="366092" w:themeColor="text2"/>
                                <w:sz w:val="18"/>
                                <w:szCs w:val="18"/>
                              </w:rPr>
                              <w:t>, m</w:t>
                            </w:r>
                            <w:r w:rsidRPr="00FB78D3">
                              <w:rPr>
                                <w:rFonts w:cs="Segoe UI"/>
                                <w:color w:val="366092" w:themeColor="text2"/>
                                <w:sz w:val="18"/>
                                <w:szCs w:val="18"/>
                              </w:rPr>
                              <w:t>ainly to save costs, but also f</w:t>
                            </w:r>
                            <w:r>
                              <w:rPr>
                                <w:rFonts w:cs="Segoe UI"/>
                                <w:color w:val="366092" w:themeColor="text2"/>
                                <w:sz w:val="18"/>
                                <w:szCs w:val="18"/>
                              </w:rPr>
                              <w:t>or convenience</w:t>
                            </w:r>
                          </w:p>
                          <w:p w14:paraId="440546D0" w14:textId="77777777" w:rsidR="00BB3453" w:rsidRPr="00FB78D3" w:rsidRDefault="00BB3453" w:rsidP="006A7E1D">
                            <w:pPr>
                              <w:numPr>
                                <w:ilvl w:val="1"/>
                                <w:numId w:val="24"/>
                              </w:numPr>
                              <w:spacing w:after="90"/>
                              <w:ind w:left="1260"/>
                              <w:jc w:val="both"/>
                              <w:rPr>
                                <w:rFonts w:cs="Segoe UI"/>
                                <w:color w:val="366092" w:themeColor="text2"/>
                                <w:sz w:val="18"/>
                                <w:szCs w:val="18"/>
                              </w:rPr>
                            </w:pPr>
                            <w:r>
                              <w:rPr>
                                <w:rFonts w:cs="Segoe UI"/>
                                <w:color w:val="366092" w:themeColor="text2"/>
                                <w:sz w:val="18"/>
                                <w:szCs w:val="18"/>
                              </w:rPr>
                              <w:t xml:space="preserve">Participants would </w:t>
                            </w:r>
                            <w:r w:rsidRPr="007333E7">
                              <w:rPr>
                                <w:rFonts w:cs="Segoe UI"/>
                                <w:b/>
                                <w:color w:val="366092" w:themeColor="text2"/>
                                <w:sz w:val="18"/>
                                <w:szCs w:val="18"/>
                              </w:rPr>
                              <w:t>access microfinance</w:t>
                            </w:r>
                            <w:r>
                              <w:rPr>
                                <w:rFonts w:cs="Segoe UI"/>
                                <w:color w:val="366092" w:themeColor="text2"/>
                                <w:sz w:val="18"/>
                                <w:szCs w:val="18"/>
                              </w:rPr>
                              <w:t xml:space="preserve"> for solar purchases if available</w:t>
                            </w:r>
                          </w:p>
                          <w:p w14:paraId="197A8516"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Solar products are supposedly easiest to purchase from the ‘Grand Marché’ in Niamey, or in small town markets close to the Nigerian border.</w:t>
                            </w:r>
                          </w:p>
                          <w:p w14:paraId="0C506993" w14:textId="77777777" w:rsidR="00BB3453" w:rsidRDefault="00BB3453" w:rsidP="006A7E1D">
                            <w:pPr>
                              <w:numPr>
                                <w:ilvl w:val="0"/>
                                <w:numId w:val="16"/>
                              </w:numPr>
                              <w:spacing w:after="90"/>
                              <w:jc w:val="both"/>
                              <w:rPr>
                                <w:rFonts w:cs="Segoe UI"/>
                                <w:color w:val="366092" w:themeColor="text2"/>
                                <w:sz w:val="18"/>
                                <w:szCs w:val="18"/>
                              </w:rPr>
                            </w:pPr>
                            <w:r w:rsidRPr="00980D7D">
                              <w:rPr>
                                <w:rFonts w:cs="Segoe UI"/>
                                <w:color w:val="366092" w:themeColor="text2"/>
                                <w:sz w:val="18"/>
                                <w:szCs w:val="18"/>
                              </w:rPr>
                              <w:t>Solar home systems were typically purchased through own savings (either at home or in savings groups), or immediately after the harvest with crop income</w:t>
                            </w:r>
                            <w:r>
                              <w:rPr>
                                <w:rFonts w:cs="Segoe UI"/>
                                <w:color w:val="366092" w:themeColor="text2"/>
                                <w:sz w:val="18"/>
                                <w:szCs w:val="18"/>
                              </w:rPr>
                              <w:t>.</w:t>
                            </w:r>
                          </w:p>
                        </w:txbxContent>
                      </wps:txbx>
                      <wps:bodyPr rot="0" vert="horz" wrap="square" lIns="182880" tIns="91440" rIns="182880" bIns="91440" anchor="t" anchorCtr="0" upright="1">
                        <a:noAutofit/>
                      </wps:bodyPr>
                    </wps:wsp>
                  </a:graphicData>
                </a:graphic>
                <wp14:sizeRelV relativeFrom="margin">
                  <wp14:pctHeight>0</wp14:pctHeight>
                </wp14:sizeRelV>
              </wp:anchor>
            </w:drawing>
          </mc:Choice>
          <mc:Fallback>
            <w:pict>
              <v:rect w14:anchorId="56C28F6F" id="_x0000_s1036" style="position:absolute;left:0;text-align:left;margin-left:415.35pt;margin-top:112.4pt;width:466.55pt;height:438.3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" fillcolor="#e6f2f3" strokecolor="#7f7f7f" strokeweight="1.25pt">
                <v:stroke opacity="59624f"/>
                <v:textbox inset="14.4pt,7.2pt,14.4pt,7.2pt">
                  <w:txbxContent>
                    <w:p w14:paraId="28E1DDE5" w14:textId="77777777" w:rsidR="00BB3453" w:rsidRPr="006A5E47" w:rsidRDefault="00BB3453" w:rsidP="00952FE8">
                      <w:pPr>
                        <w:spacing w:before="240" w:after="300" w:line="240" w:lineRule="auto"/>
                        <w:rPr>
                          <w:rFonts w:eastAsiaTheme="majorEastAsia" w:cs="Segoe UI"/>
                          <w:color w:val="ADD2D7" w:themeColor="accent1"/>
                          <w:sz w:val="32"/>
                          <w:szCs w:val="32"/>
                        </w:rPr>
                      </w:pPr>
                      <w:r>
                        <w:rPr>
                          <w:rFonts w:eastAsiaTheme="majorEastAsia" w:cs="Segoe UI"/>
                          <w:color w:val="ADD2D7" w:themeColor="accent1"/>
                          <w:sz w:val="32"/>
                          <w:szCs w:val="32"/>
                        </w:rPr>
                        <w:t>Key insights from focus groups held in Niger</w:t>
                      </w:r>
                    </w:p>
                    <w:p w14:paraId="7C0A73F4"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 xml:space="preserve">Across all 6 focus groups, only 8 of around 90 participants (~ 9%) use or have used solar products, all of them low-quality imitation brands; of the 8 solar users, 3 used solar lanterns, and 5 used small solar home systems. </w:t>
                      </w:r>
                    </w:p>
                    <w:p w14:paraId="380F48B5"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Across all socio-economic levels, LED flashlights are the main source of lighting for off-grid households (90% of participants); a few more affluent households use fuel generators or solar home systems.</w:t>
                      </w:r>
                    </w:p>
                    <w:p w14:paraId="3D652557"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The three key reasons for the limited uptake of solar products are:</w:t>
                      </w:r>
                    </w:p>
                    <w:p w14:paraId="6C564F6C"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sidRPr="003A2C22">
                        <w:rPr>
                          <w:rFonts w:cs="Segoe UI"/>
                          <w:b/>
                          <w:color w:val="366092" w:themeColor="text2"/>
                          <w:sz w:val="18"/>
                          <w:szCs w:val="18"/>
                        </w:rPr>
                        <w:t xml:space="preserve">Non-availability. </w:t>
                      </w:r>
                      <w:r>
                        <w:rPr>
                          <w:rFonts w:cs="Segoe UI"/>
                          <w:color w:val="366092" w:themeColor="text2"/>
                          <w:sz w:val="18"/>
                          <w:szCs w:val="18"/>
                        </w:rPr>
                        <w:t>Some participants did not think solar products were available in Niger yet.</w:t>
                      </w:r>
                    </w:p>
                    <w:p w14:paraId="4631D3C0"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Pr>
                          <w:rFonts w:cs="Segoe UI"/>
                          <w:b/>
                          <w:color w:val="366092" w:themeColor="text2"/>
                          <w:sz w:val="18"/>
                          <w:szCs w:val="18"/>
                        </w:rPr>
                        <w:t xml:space="preserve">Affordability. </w:t>
                      </w:r>
                      <w:r>
                        <w:rPr>
                          <w:rFonts w:cs="Segoe UI"/>
                          <w:color w:val="366092" w:themeColor="text2"/>
                          <w:sz w:val="18"/>
                          <w:szCs w:val="18"/>
                        </w:rPr>
                        <w:t>Many of the participants earn below US $2 per day, so solar products are perceived as very expensive; only few participants were aware of consumer financing schemes.</w:t>
                      </w:r>
                    </w:p>
                    <w:p w14:paraId="00954DC9" w14:textId="77777777" w:rsidR="00BB3453" w:rsidRPr="003A2C22" w:rsidRDefault="00BB3453" w:rsidP="006A7E1D">
                      <w:pPr>
                        <w:numPr>
                          <w:ilvl w:val="1"/>
                          <w:numId w:val="16"/>
                        </w:numPr>
                        <w:spacing w:after="90"/>
                        <w:ind w:left="1260"/>
                        <w:jc w:val="both"/>
                        <w:rPr>
                          <w:rFonts w:cs="Segoe UI"/>
                          <w:b/>
                          <w:color w:val="366092" w:themeColor="text2"/>
                          <w:sz w:val="18"/>
                          <w:szCs w:val="18"/>
                        </w:rPr>
                      </w:pPr>
                      <w:r>
                        <w:rPr>
                          <w:rFonts w:cs="Segoe UI"/>
                          <w:b/>
                          <w:color w:val="366092" w:themeColor="text2"/>
                          <w:sz w:val="18"/>
                          <w:szCs w:val="18"/>
                        </w:rPr>
                        <w:t xml:space="preserve">Quality of solar products. </w:t>
                      </w:r>
                      <w:r>
                        <w:rPr>
                          <w:rFonts w:cs="Segoe UI"/>
                          <w:color w:val="366092" w:themeColor="text2"/>
                          <w:sz w:val="18"/>
                          <w:szCs w:val="18"/>
                        </w:rPr>
                        <w:t xml:space="preserve">Users and non-users of solar products alike, all think of small solar products as non-durable. Solar lanterns often break in less than a month, and the solar home systems require frequent, expensive battery replacements, often every 6 months. </w:t>
                      </w:r>
                    </w:p>
                    <w:p w14:paraId="7AD5D41C"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In other cases, solar traders demanded upfront payments and never returned, leading to mistrust of solar vendors.</w:t>
                      </w:r>
                    </w:p>
                    <w:p w14:paraId="783729EF" w14:textId="77777777" w:rsidR="00BB3453" w:rsidRPr="00FB78D3" w:rsidRDefault="00BB3453" w:rsidP="006A7E1D">
                      <w:pPr>
                        <w:numPr>
                          <w:ilvl w:val="0"/>
                          <w:numId w:val="16"/>
                        </w:numPr>
                        <w:spacing w:after="90"/>
                        <w:jc w:val="both"/>
                        <w:rPr>
                          <w:rFonts w:cs="Segoe UI"/>
                          <w:color w:val="366092" w:themeColor="text2"/>
                          <w:sz w:val="18"/>
                          <w:szCs w:val="18"/>
                        </w:rPr>
                      </w:pPr>
                      <w:r w:rsidRPr="0092741C">
                        <w:rPr>
                          <w:rFonts w:cs="Segoe UI"/>
                          <w:color w:val="366092" w:themeColor="text2"/>
                          <w:sz w:val="18"/>
                          <w:szCs w:val="18"/>
                        </w:rPr>
                        <w:t xml:space="preserve">Many participants </w:t>
                      </w:r>
                      <w:r>
                        <w:rPr>
                          <w:rFonts w:cs="Segoe UI"/>
                          <w:color w:val="366092" w:themeColor="text2"/>
                          <w:sz w:val="18"/>
                          <w:szCs w:val="18"/>
                        </w:rPr>
                        <w:t xml:space="preserve">would </w:t>
                      </w:r>
                      <w:r w:rsidRPr="007333E7">
                        <w:rPr>
                          <w:rFonts w:cs="Segoe UI"/>
                          <w:b/>
                          <w:color w:val="366092" w:themeColor="text2"/>
                          <w:sz w:val="18"/>
                          <w:szCs w:val="18"/>
                        </w:rPr>
                        <w:t>purchase</w:t>
                      </w:r>
                      <w:r>
                        <w:rPr>
                          <w:rFonts w:cs="Segoe UI"/>
                          <w:b/>
                          <w:color w:val="366092" w:themeColor="text2"/>
                          <w:sz w:val="18"/>
                          <w:szCs w:val="18"/>
                        </w:rPr>
                        <w:t xml:space="preserve"> solar</w:t>
                      </w:r>
                      <w:r w:rsidRPr="007333E7">
                        <w:rPr>
                          <w:rFonts w:cs="Segoe UI"/>
                          <w:b/>
                          <w:color w:val="366092" w:themeColor="text2"/>
                          <w:sz w:val="18"/>
                          <w:szCs w:val="18"/>
                        </w:rPr>
                        <w:t xml:space="preserve"> if</w:t>
                      </w:r>
                      <w:r>
                        <w:rPr>
                          <w:rFonts w:cs="Segoe UI"/>
                          <w:b/>
                          <w:color w:val="366092" w:themeColor="text2"/>
                          <w:sz w:val="18"/>
                          <w:szCs w:val="18"/>
                        </w:rPr>
                        <w:t xml:space="preserve"> good </w:t>
                      </w:r>
                      <w:r w:rsidRPr="0092741C">
                        <w:rPr>
                          <w:rFonts w:cs="Segoe UI"/>
                          <w:b/>
                          <w:color w:val="366092" w:themeColor="text2"/>
                          <w:sz w:val="18"/>
                          <w:szCs w:val="18"/>
                        </w:rPr>
                        <w:t>produc</w:t>
                      </w:r>
                      <w:r>
                        <w:rPr>
                          <w:rFonts w:cs="Segoe UI"/>
                          <w:b/>
                          <w:color w:val="366092" w:themeColor="text2"/>
                          <w:sz w:val="18"/>
                          <w:szCs w:val="18"/>
                        </w:rPr>
                        <w:t>ts were</w:t>
                      </w:r>
                      <w:r w:rsidRPr="0092741C">
                        <w:rPr>
                          <w:rFonts w:cs="Segoe UI"/>
                          <w:b/>
                          <w:color w:val="366092" w:themeColor="text2"/>
                          <w:sz w:val="18"/>
                          <w:szCs w:val="18"/>
                        </w:rPr>
                        <w:t xml:space="preserve"> available</w:t>
                      </w:r>
                      <w:r>
                        <w:rPr>
                          <w:rFonts w:cs="Segoe UI"/>
                          <w:b/>
                          <w:color w:val="366092" w:themeColor="text2"/>
                          <w:sz w:val="18"/>
                          <w:szCs w:val="18"/>
                        </w:rPr>
                        <w:t xml:space="preserve"> and affordable</w:t>
                      </w:r>
                    </w:p>
                    <w:p w14:paraId="7750B3A0" w14:textId="77777777" w:rsidR="00BB3453" w:rsidRDefault="00BB3453" w:rsidP="006A7E1D">
                      <w:pPr>
                        <w:numPr>
                          <w:ilvl w:val="1"/>
                          <w:numId w:val="24"/>
                        </w:numPr>
                        <w:spacing w:after="90"/>
                        <w:ind w:left="1260"/>
                        <w:jc w:val="both"/>
                        <w:rPr>
                          <w:rFonts w:cs="Segoe UI"/>
                          <w:color w:val="366092" w:themeColor="text2"/>
                          <w:sz w:val="18"/>
                          <w:szCs w:val="18"/>
                        </w:rPr>
                      </w:pPr>
                      <w:r w:rsidRPr="00FB78D3">
                        <w:rPr>
                          <w:rFonts w:cs="Segoe UI"/>
                          <w:color w:val="366092" w:themeColor="text2"/>
                          <w:sz w:val="18"/>
                          <w:szCs w:val="18"/>
                        </w:rPr>
                        <w:t xml:space="preserve">Solar </w:t>
                      </w:r>
                      <w:r>
                        <w:rPr>
                          <w:rFonts w:cs="Segoe UI"/>
                          <w:color w:val="366092" w:themeColor="text2"/>
                          <w:sz w:val="18"/>
                          <w:szCs w:val="18"/>
                        </w:rPr>
                        <w:t xml:space="preserve">was </w:t>
                      </w:r>
                      <w:r w:rsidRPr="00FB78D3">
                        <w:rPr>
                          <w:rFonts w:cs="Segoe UI"/>
                          <w:color w:val="366092" w:themeColor="text2"/>
                          <w:sz w:val="18"/>
                          <w:szCs w:val="18"/>
                        </w:rPr>
                        <w:t>often considered as brighter, safer</w:t>
                      </w:r>
                      <w:r>
                        <w:rPr>
                          <w:rFonts w:cs="Segoe UI"/>
                          <w:color w:val="366092" w:themeColor="text2"/>
                          <w:sz w:val="18"/>
                          <w:szCs w:val="18"/>
                        </w:rPr>
                        <w:t>,</w:t>
                      </w:r>
                      <w:r w:rsidRPr="00FB78D3">
                        <w:rPr>
                          <w:rFonts w:cs="Segoe UI"/>
                          <w:color w:val="366092" w:themeColor="text2"/>
                          <w:sz w:val="18"/>
                          <w:szCs w:val="18"/>
                        </w:rPr>
                        <w:t xml:space="preserve"> and cheaper in the long run than alternative</w:t>
                      </w:r>
                      <w:r>
                        <w:rPr>
                          <w:rFonts w:cs="Segoe UI"/>
                          <w:color w:val="366092" w:themeColor="text2"/>
                          <w:sz w:val="18"/>
                          <w:szCs w:val="18"/>
                        </w:rPr>
                        <w:t>s</w:t>
                      </w:r>
                    </w:p>
                    <w:p w14:paraId="6E08006D" w14:textId="77777777" w:rsidR="00BB3453" w:rsidRDefault="00BB3453" w:rsidP="006A7E1D">
                      <w:pPr>
                        <w:numPr>
                          <w:ilvl w:val="1"/>
                          <w:numId w:val="24"/>
                        </w:numPr>
                        <w:spacing w:after="90"/>
                        <w:ind w:left="1260"/>
                        <w:jc w:val="both"/>
                        <w:rPr>
                          <w:rFonts w:cs="Segoe UI"/>
                          <w:color w:val="366092" w:themeColor="text2"/>
                          <w:sz w:val="18"/>
                          <w:szCs w:val="18"/>
                        </w:rPr>
                      </w:pPr>
                      <w:r>
                        <w:rPr>
                          <w:rFonts w:cs="Segoe UI"/>
                          <w:color w:val="366092" w:themeColor="text2"/>
                          <w:sz w:val="18"/>
                          <w:szCs w:val="18"/>
                        </w:rPr>
                        <w:t xml:space="preserve">Strong demand for domestic </w:t>
                      </w:r>
                      <w:r w:rsidRPr="00755703">
                        <w:rPr>
                          <w:rFonts w:cs="Segoe UI"/>
                          <w:b/>
                          <w:color w:val="366092" w:themeColor="text2"/>
                          <w:sz w:val="18"/>
                          <w:szCs w:val="18"/>
                        </w:rPr>
                        <w:t>mobile phone charging</w:t>
                      </w:r>
                      <w:r>
                        <w:rPr>
                          <w:rFonts w:cs="Segoe UI"/>
                          <w:color w:val="366092" w:themeColor="text2"/>
                          <w:sz w:val="18"/>
                          <w:szCs w:val="18"/>
                        </w:rPr>
                        <w:t>, m</w:t>
                      </w:r>
                      <w:r w:rsidRPr="00FB78D3">
                        <w:rPr>
                          <w:rFonts w:cs="Segoe UI"/>
                          <w:color w:val="366092" w:themeColor="text2"/>
                          <w:sz w:val="18"/>
                          <w:szCs w:val="18"/>
                        </w:rPr>
                        <w:t>ainly to save costs, but also f</w:t>
                      </w:r>
                      <w:r>
                        <w:rPr>
                          <w:rFonts w:cs="Segoe UI"/>
                          <w:color w:val="366092" w:themeColor="text2"/>
                          <w:sz w:val="18"/>
                          <w:szCs w:val="18"/>
                        </w:rPr>
                        <w:t>or convenience</w:t>
                      </w:r>
                    </w:p>
                    <w:p w14:paraId="440546D0" w14:textId="77777777" w:rsidR="00BB3453" w:rsidRPr="00FB78D3" w:rsidRDefault="00BB3453" w:rsidP="006A7E1D">
                      <w:pPr>
                        <w:numPr>
                          <w:ilvl w:val="1"/>
                          <w:numId w:val="24"/>
                        </w:numPr>
                        <w:spacing w:after="90"/>
                        <w:ind w:left="1260"/>
                        <w:jc w:val="both"/>
                        <w:rPr>
                          <w:rFonts w:cs="Segoe UI"/>
                          <w:color w:val="366092" w:themeColor="text2"/>
                          <w:sz w:val="18"/>
                          <w:szCs w:val="18"/>
                        </w:rPr>
                      </w:pPr>
                      <w:r>
                        <w:rPr>
                          <w:rFonts w:cs="Segoe UI"/>
                          <w:color w:val="366092" w:themeColor="text2"/>
                          <w:sz w:val="18"/>
                          <w:szCs w:val="18"/>
                        </w:rPr>
                        <w:t xml:space="preserve">Participants would </w:t>
                      </w:r>
                      <w:r w:rsidRPr="007333E7">
                        <w:rPr>
                          <w:rFonts w:cs="Segoe UI"/>
                          <w:b/>
                          <w:color w:val="366092" w:themeColor="text2"/>
                          <w:sz w:val="18"/>
                          <w:szCs w:val="18"/>
                        </w:rPr>
                        <w:t>access microfinance</w:t>
                      </w:r>
                      <w:r>
                        <w:rPr>
                          <w:rFonts w:cs="Segoe UI"/>
                          <w:color w:val="366092" w:themeColor="text2"/>
                          <w:sz w:val="18"/>
                          <w:szCs w:val="18"/>
                        </w:rPr>
                        <w:t xml:space="preserve"> for solar purchases if available</w:t>
                      </w:r>
                    </w:p>
                    <w:p w14:paraId="197A8516" w14:textId="77777777" w:rsidR="00BB3453"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Solar products are supposedly easiest to purchase from the ‘Grand Marché’ in Niamey, or in small town markets close to the Nigerian border.</w:t>
                      </w:r>
                    </w:p>
                    <w:p w14:paraId="0C506993" w14:textId="77777777" w:rsidR="00BB3453" w:rsidRDefault="00BB3453" w:rsidP="006A7E1D">
                      <w:pPr>
                        <w:numPr>
                          <w:ilvl w:val="0"/>
                          <w:numId w:val="16"/>
                        </w:numPr>
                        <w:spacing w:after="90"/>
                        <w:jc w:val="both"/>
                        <w:rPr>
                          <w:rFonts w:cs="Segoe UI"/>
                          <w:color w:val="366092" w:themeColor="text2"/>
                          <w:sz w:val="18"/>
                          <w:szCs w:val="18"/>
                        </w:rPr>
                      </w:pPr>
                      <w:r w:rsidRPr="00980D7D">
                        <w:rPr>
                          <w:rFonts w:cs="Segoe UI"/>
                          <w:color w:val="366092" w:themeColor="text2"/>
                          <w:sz w:val="18"/>
                          <w:szCs w:val="18"/>
                        </w:rPr>
                        <w:t>Solar home systems were typically purchased through own savings (either at home or in savings groups), or immediately after the harvest with crop income</w:t>
                      </w:r>
                      <w:r>
                        <w:rPr>
                          <w:rFonts w:cs="Segoe UI"/>
                          <w:color w:val="366092" w:themeColor="text2"/>
                          <w:sz w:val="18"/>
                          <w:szCs w:val="18"/>
                        </w:rPr>
                        <w:t>.</w:t>
                      </w:r>
                    </w:p>
                  </w:txbxContent>
                </v:textbox>
                <w10:wrap type="square" anchorx="margin"/>
              </v:rect>
            </w:pict>
          </mc:Fallback>
        </mc:AlternateContent>
      </w:r>
      <w:r w:rsidR="00C95D0B" w:rsidRPr="0064679B">
        <w:rPr>
          <w:noProof/>
        </w:rPr>
        <mc:AlternateContent>
          <mc:Choice Requires="wps">
            <w:drawing>
              <wp:anchor distT="0" distB="0" distL="114300" distR="114300" simplePos="0" relativeHeight="251731968" behindDoc="0" locked="0" layoutInCell="1" allowOverlap="1" wp14:anchorId="4B4C6FFC" wp14:editId="1311482E">
                <wp:simplePos x="0" y="0"/>
                <wp:positionH relativeFrom="margin">
                  <wp:align>right</wp:align>
                </wp:positionH>
                <wp:positionV relativeFrom="paragraph">
                  <wp:posOffset>1208576</wp:posOffset>
                </wp:positionV>
                <wp:extent cx="5925185" cy="18097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5925185" cy="180975"/>
                        </a:xfrm>
                        <a:prstGeom prst="rect">
                          <a:avLst/>
                        </a:prstGeom>
                        <a:solidFill>
                          <a:prstClr val="white"/>
                        </a:solidFill>
                        <a:ln>
                          <a:noFill/>
                        </a:ln>
                      </wps:spPr>
                      <wps:txbx>
                        <w:txbxContent>
                          <w:p w14:paraId="03EED1F2" w14:textId="648D472C" w:rsidR="00BB3453" w:rsidRPr="00853288" w:rsidRDefault="00BB3453" w:rsidP="0099462C">
                            <w:pPr>
                              <w:pStyle w:val="Caption"/>
                              <w:rPr>
                                <w:rFonts w:cs="Segoe UI"/>
                                <w:noProof/>
                              </w:rPr>
                            </w:pPr>
                            <w:bookmarkStart w:id="38" w:name="_Toc476298051"/>
                            <w:bookmarkStart w:id="39" w:name="_Toc500969345"/>
                            <w:r>
                              <w:t xml:space="preserve">Figure </w:t>
                            </w:r>
                            <w:fldSimple w:instr=" SEQ Figure \* ARABIC ">
                              <w:r>
                                <w:rPr>
                                  <w:noProof/>
                                </w:rPr>
                                <w:t>8</w:t>
                              </w:r>
                            </w:fldSimple>
                            <w:r>
                              <w:t>: Overview of key insights gained from focus group discussions in Niger</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C6FFC" id="Text Box 55" o:spid="_x0000_s1037" type="#_x0000_t202" style="position:absolute;left:0;text-align:left;margin-left:415.35pt;margin-top:95.15pt;width:466.55pt;height:14.25pt;z-index:251731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" stroked="f">
                <v:textbox inset="0,0,0,0">
                  <w:txbxContent>
                    <w:p w14:paraId="03EED1F2" w14:textId="648D472C" w:rsidR="00BB3453" w:rsidRPr="00853288" w:rsidRDefault="00BB3453" w:rsidP="0099462C">
                      <w:pPr>
                        <w:pStyle w:val="Caption"/>
                        <w:rPr>
                          <w:rFonts w:cs="Segoe UI"/>
                          <w:noProof/>
                        </w:rPr>
                      </w:pPr>
                      <w:bookmarkStart w:id="49" w:name="_Toc476298051"/>
                      <w:bookmarkStart w:id="50" w:name="_Toc500969345"/>
                      <w:r>
                        <w:t xml:space="preserve">Figure </w:t>
                      </w:r>
                      <w:fldSimple w:instr=" SEQ Figure \* ARABIC ">
                        <w:r>
                          <w:rPr>
                            <w:noProof/>
                          </w:rPr>
                          <w:t>8</w:t>
                        </w:r>
                      </w:fldSimple>
                      <w:r>
                        <w:t>: Overview of key insights gained from focus group discussions in Niger</w:t>
                      </w:r>
                      <w:bookmarkEnd w:id="49"/>
                      <w:bookmarkEnd w:id="50"/>
                    </w:p>
                  </w:txbxContent>
                </v:textbox>
                <w10:wrap type="square" anchorx="margin"/>
              </v:shape>
            </w:pict>
          </mc:Fallback>
        </mc:AlternateContent>
      </w:r>
      <w:r w:rsidR="0064679B" w:rsidRPr="0064679B">
        <w:rPr>
          <w:rFonts w:cs="Segoe UI"/>
        </w:rPr>
        <w:t xml:space="preserve">Private households present a huge potential market segment for solar in Niger. With nearly 90% of Niger’s households off-grid, </w:t>
      </w:r>
      <w:r w:rsidR="003875E7">
        <w:rPr>
          <w:rFonts w:cs="Segoe UI"/>
        </w:rPr>
        <w:t xml:space="preserve">domestic solar solutions </w:t>
      </w:r>
      <w:r w:rsidR="0064679B" w:rsidRPr="0064679B">
        <w:rPr>
          <w:rFonts w:cs="Segoe UI"/>
        </w:rPr>
        <w:t>have the potential to transform the country’s household energy access landscape. Given the extreme levels of poverty in Niger, however, this market depends crucially on the ability of solar providers or banks and MFIs to provide consumer finance</w:t>
      </w:r>
      <w:r w:rsidR="0064679B" w:rsidRPr="0064679B">
        <w:rPr>
          <w:rFonts w:cs="Segoe UI"/>
          <w:vertAlign w:val="superscript"/>
        </w:rPr>
        <w:footnoteReference w:id="30"/>
      </w:r>
      <w:r w:rsidR="0064679B" w:rsidRPr="0064679B">
        <w:rPr>
          <w:rFonts w:cs="Segoe UI"/>
        </w:rPr>
        <w:t xml:space="preserve">. </w:t>
      </w:r>
    </w:p>
    <w:p w14:paraId="7FD826A7" w14:textId="4A9FDEBE" w:rsidR="005353CB" w:rsidRDefault="007A76CB" w:rsidP="007A76CB">
      <w:pPr>
        <w:jc w:val="both"/>
        <w:rPr>
          <w:rFonts w:cs="Segoe UI"/>
        </w:rPr>
      </w:pPr>
      <w:r w:rsidRPr="00F37B12">
        <w:rPr>
          <w:rFonts w:cs="Segoe UI"/>
        </w:rPr>
        <w:lastRenderedPageBreak/>
        <w:t xml:space="preserve">We conducted a market sizing analysis for the Nigerien market, examining </w:t>
      </w:r>
      <w:r w:rsidR="00820343" w:rsidRPr="00F37B12">
        <w:rPr>
          <w:rFonts w:cs="Segoe UI"/>
        </w:rPr>
        <w:t xml:space="preserve">(i) </w:t>
      </w:r>
      <w:r w:rsidRPr="00F37B12">
        <w:rPr>
          <w:rFonts w:cs="Segoe UI"/>
        </w:rPr>
        <w:t xml:space="preserve">off-grid private households, and </w:t>
      </w:r>
      <w:r w:rsidR="00820343" w:rsidRPr="00F37B12">
        <w:rPr>
          <w:rFonts w:cs="Segoe UI"/>
        </w:rPr>
        <w:t xml:space="preserve">(ii) </w:t>
      </w:r>
      <w:r w:rsidRPr="00F37B12">
        <w:rPr>
          <w:rFonts w:cs="Segoe UI"/>
        </w:rPr>
        <w:t xml:space="preserve">on-grid private household </w:t>
      </w:r>
      <w:r w:rsidR="007131C1" w:rsidRPr="00F37B12">
        <w:rPr>
          <w:rFonts w:cs="Segoe UI"/>
        </w:rPr>
        <w:t xml:space="preserve">as a potential market for grid backup </w:t>
      </w:r>
      <w:r w:rsidRPr="00F37B12">
        <w:rPr>
          <w:rFonts w:cs="Segoe UI"/>
        </w:rPr>
        <w:t>solution</w:t>
      </w:r>
      <w:r w:rsidR="007131C1" w:rsidRPr="00F37B12">
        <w:rPr>
          <w:rFonts w:cs="Segoe UI"/>
        </w:rPr>
        <w:t>s</w:t>
      </w:r>
      <w:r w:rsidRPr="00F37B12">
        <w:rPr>
          <w:rFonts w:cs="Segoe UI"/>
        </w:rPr>
        <w:t xml:space="preserve">. Due to the widespread poverty and generally low income levels, the key consideration for estimating the market size is affordability. Consequently, the market size was determined using </w:t>
      </w:r>
      <w:r w:rsidR="005353CB" w:rsidRPr="00F37B12">
        <w:rPr>
          <w:rFonts w:cs="Segoe UI"/>
        </w:rPr>
        <w:t xml:space="preserve">national household </w:t>
      </w:r>
      <w:r w:rsidRPr="00F37B12">
        <w:rPr>
          <w:rFonts w:cs="Segoe UI"/>
        </w:rPr>
        <w:t xml:space="preserve">expenditure distribution data combined with data on average household expenditure on lighting-related products. </w:t>
      </w:r>
    </w:p>
    <w:p w14:paraId="4EF02680" w14:textId="77777777" w:rsidR="000D1C35" w:rsidRPr="000D1C35" w:rsidRDefault="0064679B" w:rsidP="00952FE8">
      <w:pPr>
        <w:jc w:val="both"/>
      </w:pPr>
      <w:r w:rsidRPr="0064679B">
        <w:rPr>
          <w:rFonts w:cs="Segoe UI"/>
        </w:rPr>
        <w:t xml:space="preserve">To ensure sufficient granularity in matching appropriate solar </w:t>
      </w:r>
      <w:r w:rsidRPr="00F37B12">
        <w:rPr>
          <w:rFonts w:cs="Segoe UI"/>
        </w:rPr>
        <w:t xml:space="preserve">products to </w:t>
      </w:r>
      <w:r w:rsidR="007E2A94" w:rsidRPr="00F37B12">
        <w:rPr>
          <w:rFonts w:cs="Segoe UI"/>
        </w:rPr>
        <w:t>expenditure</w:t>
      </w:r>
      <w:r w:rsidR="007E2A94">
        <w:rPr>
          <w:rFonts w:cs="Segoe UI"/>
        </w:rPr>
        <w:t xml:space="preserve"> </w:t>
      </w:r>
      <w:r w:rsidRPr="0064679B">
        <w:rPr>
          <w:rFonts w:cs="Segoe UI"/>
        </w:rPr>
        <w:t xml:space="preserve">deciles, the market sizing includes a broad range of products ranging from simple study lights at US $5 that can provide up to 4 hours of lighting to large solar home systems (200W) at US $1,000 that can power more energy-intensive household appliances for many hours; the solar devices are summarized in </w:t>
      </w:r>
      <w:r w:rsidRPr="0064679B">
        <w:rPr>
          <w:rFonts w:cs="Segoe UI"/>
        </w:rPr>
        <w:fldChar w:fldCharType="begin"/>
      </w:r>
      <w:r w:rsidRPr="0064679B">
        <w:rPr>
          <w:rFonts w:cs="Segoe UI"/>
        </w:rPr>
        <w:instrText xml:space="preserve"> REF _Ref476071038 </w:instrText>
      </w:r>
      <w:r w:rsidR="00952FE8">
        <w:rPr>
          <w:rFonts w:cs="Segoe UI"/>
        </w:rPr>
        <w:instrText xml:space="preserve"> \* MERGEFORMAT </w:instrText>
      </w:r>
      <w:r w:rsidRPr="0064679B">
        <w:rPr>
          <w:rFonts w:cs="Segoe UI"/>
        </w:rPr>
        <w:fldChar w:fldCharType="separate"/>
      </w:r>
      <w:r w:rsidR="000D1C35" w:rsidRPr="000D1C35">
        <w:t xml:space="preserve">  </w:t>
      </w:r>
    </w:p>
    <w:p w14:paraId="72A1E1BD" w14:textId="581572F0" w:rsidR="00A33A84" w:rsidRPr="00DB53C9" w:rsidRDefault="000D1C35" w:rsidP="00952FE8">
      <w:pPr>
        <w:jc w:val="both"/>
        <w:rPr>
          <w:rFonts w:cs="Segoe UI"/>
        </w:rPr>
      </w:pPr>
      <w:r w:rsidRPr="00A33A84">
        <w:rPr>
          <w:noProof/>
        </w:rPr>
        <w:t>Table</w:t>
      </w:r>
      <w:r w:rsidRPr="00A33A84">
        <w:t xml:space="preserve"> </w:t>
      </w:r>
      <w:r>
        <w:rPr>
          <w:noProof/>
        </w:rPr>
        <w:t>3</w:t>
      </w:r>
      <w:r w:rsidR="0064679B" w:rsidRPr="0064679B">
        <w:rPr>
          <w:rFonts w:cs="Segoe UI"/>
        </w:rPr>
        <w:fldChar w:fldCharType="end"/>
      </w:r>
      <w:r w:rsidR="0064679B" w:rsidRPr="0064679B">
        <w:rPr>
          <w:rFonts w:cs="Segoe UI"/>
        </w:rPr>
        <w:t xml:space="preserve"> below. Note that this analysis does not yet take into account whether these products are currently available in Niger or what would be required to introduce them to the Nigerien market, but rather estimates a potential market that could theoretically be served at regional benchmark solar price points</w:t>
      </w:r>
      <w:r w:rsidR="0064679B" w:rsidRPr="00F37B12">
        <w:rPr>
          <w:rFonts w:cs="Segoe UI"/>
        </w:rPr>
        <w:t>.</w:t>
      </w:r>
      <w:r w:rsidR="0064679B" w:rsidRPr="00F37B12">
        <w:rPr>
          <w:rFonts w:cs="Segoe UI"/>
          <w:vertAlign w:val="superscript"/>
        </w:rPr>
        <w:footnoteReference w:id="31"/>
      </w:r>
      <w:bookmarkStart w:id="40" w:name="_Ref476071038"/>
      <w:bookmarkStart w:id="41" w:name="_Toc476298071"/>
      <w:r w:rsidR="00DB53C9" w:rsidRPr="00F37B12">
        <w:rPr>
          <w:rFonts w:cs="Segoe UI"/>
        </w:rPr>
        <w:t xml:space="preserve"> </w:t>
      </w:r>
      <w:r w:rsidR="00DB53C9">
        <w:rPr>
          <w:rFonts w:cs="Segoe UI"/>
        </w:rPr>
        <w:t xml:space="preserve"> </w:t>
      </w:r>
    </w:p>
    <w:p w14:paraId="64869E25" w14:textId="4C6ACAC2" w:rsidR="0064679B" w:rsidRPr="00A33A84" w:rsidRDefault="0064679B" w:rsidP="0099462C">
      <w:pPr>
        <w:pStyle w:val="Caption"/>
      </w:pPr>
      <w:bookmarkStart w:id="42" w:name="_Toc500969367"/>
      <w:r w:rsidRPr="00A33A84">
        <w:t xml:space="preserve">Table </w:t>
      </w:r>
      <w:fldSimple w:instr=" SEQ Table \* ARABIC ">
        <w:r w:rsidR="000D1C35">
          <w:rPr>
            <w:noProof/>
          </w:rPr>
          <w:t>3</w:t>
        </w:r>
      </w:fldSimple>
      <w:bookmarkEnd w:id="40"/>
      <w:r w:rsidRPr="00A33A84">
        <w:t xml:space="preserve">: </w:t>
      </w:r>
      <w:r w:rsidR="00FA3A95">
        <w:t>Representative</w:t>
      </w:r>
      <w:r w:rsidR="00FA3A95" w:rsidRPr="00A33A84">
        <w:t xml:space="preserve"> </w:t>
      </w:r>
      <w:r w:rsidRPr="00A33A84">
        <w:t>solar devices for market sizing</w:t>
      </w:r>
      <w:bookmarkEnd w:id="41"/>
      <w:bookmarkEnd w:id="42"/>
    </w:p>
    <w:p w14:paraId="1B6DE2BC" w14:textId="77777777" w:rsidR="0064679B" w:rsidRPr="0064679B" w:rsidRDefault="0064679B" w:rsidP="0064679B">
      <w:pPr>
        <w:jc w:val="both"/>
        <w:rPr>
          <w:rFonts w:cs="Segoe UI"/>
        </w:rPr>
      </w:pPr>
      <w:r w:rsidRPr="0064679B">
        <w:rPr>
          <w:rFonts w:cs="Segoe UI"/>
          <w:noProof/>
        </w:rPr>
        <w:drawing>
          <wp:inline distT="0" distB="0" distL="0" distR="0" wp14:anchorId="6060A4F7" wp14:editId="76A58E57">
            <wp:extent cx="5906531" cy="3740391"/>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31"/>
                    <a:srcRect l="5655" r="47942" b="10592"/>
                    <a:stretch/>
                  </pic:blipFill>
                  <pic:spPr>
                    <a:xfrm>
                      <a:off x="0" y="0"/>
                      <a:ext cx="5906531" cy="3740391"/>
                    </a:xfrm>
                    <a:prstGeom prst="rect">
                      <a:avLst/>
                    </a:prstGeom>
                  </pic:spPr>
                </pic:pic>
              </a:graphicData>
            </a:graphic>
          </wp:inline>
        </w:drawing>
      </w:r>
    </w:p>
    <w:p w14:paraId="61A01259" w14:textId="08047006" w:rsidR="0064679B" w:rsidRPr="0064679B" w:rsidRDefault="0000473A" w:rsidP="0064679B">
      <w:pPr>
        <w:jc w:val="both"/>
      </w:pPr>
      <w:fldSimple w:instr=" REF _Ref465842308  \* MERGEFORMAT ">
        <w:r w:rsidR="000D1C35" w:rsidRPr="000D1C35">
          <w:rPr>
            <w:rFonts w:cs="Segoe UI"/>
          </w:rPr>
          <w:t xml:space="preserve">Table </w:t>
        </w:r>
        <w:r w:rsidR="000D1C35" w:rsidRPr="000D1C35">
          <w:rPr>
            <w:rFonts w:cs="Segoe UI"/>
            <w:noProof/>
          </w:rPr>
          <w:t>4</w:t>
        </w:r>
      </w:fldSimple>
      <w:r w:rsidR="0064679B" w:rsidRPr="0064679B">
        <w:t xml:space="preserve"> below provides an overview of price points attainable for each decile both under over-the-counter and pay-as-you-go</w:t>
      </w:r>
      <w:r w:rsidR="007131C1">
        <w:t xml:space="preserve"> </w:t>
      </w:r>
      <w:r w:rsidR="00FA3A95">
        <w:t xml:space="preserve">(PAYG) </w:t>
      </w:r>
      <w:r w:rsidR="007131C1">
        <w:t>consumer financing</w:t>
      </w:r>
      <w:r w:rsidR="0064679B" w:rsidRPr="0064679B">
        <w:t xml:space="preserve"> payment scenarios. Niger has an estimated overall number of around 3.1 million households (</w:t>
      </w:r>
      <w:r w:rsidR="00FA3A95">
        <w:t>of which</w:t>
      </w:r>
      <w:r w:rsidR="00FA3A95" w:rsidRPr="0064679B">
        <w:t xml:space="preserve"> </w:t>
      </w:r>
      <w:r w:rsidR="0064679B" w:rsidRPr="0064679B">
        <w:t xml:space="preserve">around 2.7 million </w:t>
      </w:r>
      <w:r w:rsidR="00FA3A95">
        <w:t xml:space="preserve">are </w:t>
      </w:r>
      <w:r w:rsidR="0064679B" w:rsidRPr="0064679B">
        <w:t>off-grid)</w:t>
      </w:r>
      <w:r w:rsidR="0064679B" w:rsidRPr="0064679B">
        <w:rPr>
          <w:vertAlign w:val="superscript"/>
        </w:rPr>
        <w:footnoteReference w:id="32"/>
      </w:r>
      <w:r w:rsidR="0064679B" w:rsidRPr="0064679B">
        <w:t>, so each household decile represents nearly 2 million people.</w:t>
      </w:r>
    </w:p>
    <w:p w14:paraId="707C9202" w14:textId="0B4446B8" w:rsidR="007E2A94" w:rsidRPr="0064679B" w:rsidRDefault="0064679B" w:rsidP="0064679B">
      <w:pPr>
        <w:jc w:val="both"/>
      </w:pPr>
      <w:r w:rsidRPr="0064679B">
        <w:lastRenderedPageBreak/>
        <w:t xml:space="preserve">Without consumer financing, we find that the poorest three household deciles cannot afford even the most basic solar devices, and only the 10% </w:t>
      </w:r>
      <w:r w:rsidR="00805EA1">
        <w:t xml:space="preserve">with the highest income </w:t>
      </w:r>
      <w:r w:rsidRPr="0064679B">
        <w:t xml:space="preserve">can afford anything more than a simple 3W standing light. With consumer financing options currently available or soon to be available in established solar markets (such as Kenya), the 60% </w:t>
      </w:r>
      <w:r w:rsidR="00805EA1">
        <w:t xml:space="preserve">highest income earners </w:t>
      </w:r>
      <w:r w:rsidR="00FA3A95">
        <w:t>could</w:t>
      </w:r>
      <w:r w:rsidR="00FA3A95" w:rsidRPr="0064679B">
        <w:t xml:space="preserve"> </w:t>
      </w:r>
      <w:r w:rsidRPr="0064679B">
        <w:t xml:space="preserve">afford solar systems in the US $100 – US $500 range, and consumers in all deciles </w:t>
      </w:r>
      <w:r w:rsidR="00FA3A95">
        <w:t>could</w:t>
      </w:r>
      <w:r w:rsidR="00FA3A95" w:rsidRPr="0064679B">
        <w:t xml:space="preserve"> </w:t>
      </w:r>
      <w:r w:rsidRPr="0064679B">
        <w:t xml:space="preserve">afford solar lanterns (assuming consumer finance tenors are sufficiently long and upfront deposits are sufficiently low). This distribution forms the basis of our market sizing for current households. </w:t>
      </w:r>
    </w:p>
    <w:p w14:paraId="1AC8837A" w14:textId="3378662B" w:rsidR="0064679B" w:rsidRPr="0064679B" w:rsidRDefault="0064679B" w:rsidP="0099462C">
      <w:pPr>
        <w:pStyle w:val="Caption"/>
      </w:pPr>
      <w:bookmarkStart w:id="43" w:name="_Ref465842308"/>
      <w:bookmarkStart w:id="44" w:name="_Ref459813485"/>
      <w:bookmarkStart w:id="45" w:name="_Toc467667533"/>
      <w:bookmarkStart w:id="46" w:name="_Toc476298072"/>
      <w:bookmarkStart w:id="47" w:name="_Toc500969368"/>
      <w:r w:rsidRPr="0064679B">
        <w:t xml:space="preserve">Table </w:t>
      </w:r>
      <w:fldSimple w:instr=" SEQ Table \* ARABIC ">
        <w:r w:rsidR="000D1C35">
          <w:rPr>
            <w:noProof/>
          </w:rPr>
          <w:t>4</w:t>
        </w:r>
      </w:fldSimple>
      <w:bookmarkEnd w:id="43"/>
      <w:r w:rsidRPr="0064679B">
        <w:t xml:space="preserve">: </w:t>
      </w:r>
      <w:bookmarkEnd w:id="44"/>
      <w:bookmarkEnd w:id="45"/>
      <w:r w:rsidRPr="0064679B">
        <w:t>Attainable price points for solar systems by household expenditure decile (2016 est.)</w:t>
      </w:r>
      <w:bookmarkEnd w:id="46"/>
      <w:bookmarkEnd w:id="47"/>
    </w:p>
    <w:p w14:paraId="19688EFA" w14:textId="77777777" w:rsidR="0064679B" w:rsidRPr="0064679B" w:rsidRDefault="0064679B" w:rsidP="0064679B">
      <w:pPr>
        <w:jc w:val="both"/>
        <w:rPr>
          <w:rFonts w:cs="Segoe UI"/>
        </w:rPr>
      </w:pPr>
      <w:r w:rsidRPr="00583EF3">
        <w:rPr>
          <w:rFonts w:cs="Segoe UI"/>
          <w:noProof/>
        </w:rPr>
        <w:drawing>
          <wp:anchor distT="0" distB="0" distL="114300" distR="114300" simplePos="0" relativeHeight="251732992" behindDoc="0" locked="0" layoutInCell="1" allowOverlap="1" wp14:anchorId="6DB67600" wp14:editId="68D38249">
            <wp:simplePos x="0" y="0"/>
            <wp:positionH relativeFrom="column">
              <wp:posOffset>0</wp:posOffset>
            </wp:positionH>
            <wp:positionV relativeFrom="paragraph">
              <wp:posOffset>0</wp:posOffset>
            </wp:positionV>
            <wp:extent cx="5943600" cy="282575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2825750"/>
                    </a:xfrm>
                    <a:prstGeom prst="rect">
                      <a:avLst/>
                    </a:prstGeom>
                  </pic:spPr>
                </pic:pic>
              </a:graphicData>
            </a:graphic>
          </wp:anchor>
        </w:drawing>
      </w:r>
    </w:p>
    <w:p w14:paraId="5CADDC18" w14:textId="147E6DD2" w:rsidR="007E2A94" w:rsidRDefault="007E2A94" w:rsidP="007E2A94">
      <w:pPr>
        <w:jc w:val="both"/>
        <w:rPr>
          <w:rFonts w:cs="Segoe UI"/>
        </w:rPr>
      </w:pPr>
      <w:bookmarkStart w:id="48" w:name="_Toc467667462"/>
      <w:bookmarkStart w:id="49" w:name="_Toc476298018"/>
      <w:r>
        <w:rPr>
          <w:rFonts w:cs="Segoe UI"/>
        </w:rPr>
        <w:t>Based on our analysis, w</w:t>
      </w:r>
      <w:r w:rsidRPr="0064679B">
        <w:rPr>
          <w:rFonts w:cs="Segoe UI"/>
        </w:rPr>
        <w:t xml:space="preserve">e estimate the annualized market for solar lanterns and solar home systems at around US $12 million in the absence of consumer financing, representing an annual sales volume potential of around 760,000 units, for the most part consisting of entry-level solar lantern products; of these, we estimate around 630,000 units </w:t>
      </w:r>
      <w:r>
        <w:rPr>
          <w:rFonts w:cs="Segoe UI"/>
        </w:rPr>
        <w:t xml:space="preserve">are sold </w:t>
      </w:r>
      <w:r w:rsidRPr="0064679B">
        <w:rPr>
          <w:rFonts w:cs="Segoe UI"/>
        </w:rPr>
        <w:t>to of</w:t>
      </w:r>
      <w:r>
        <w:rPr>
          <w:rFonts w:cs="Segoe UI"/>
        </w:rPr>
        <w:t>f-grid customers</w:t>
      </w:r>
      <w:r w:rsidRPr="0064679B">
        <w:rPr>
          <w:rFonts w:cs="Segoe UI"/>
        </w:rPr>
        <w:t xml:space="preserve">, representing nearly 25% of off-grid households. </w:t>
      </w:r>
      <w:r w:rsidR="00E535EF" w:rsidRPr="002A56C6">
        <w:rPr>
          <w:rFonts w:cs="Segoe UI"/>
        </w:rPr>
        <w:t>Based on our analysis and assumptions made,</w:t>
      </w:r>
      <w:r w:rsidR="00E535EF" w:rsidRPr="00E535EF">
        <w:rPr>
          <w:rFonts w:cs="Segoe UI"/>
          <w:color w:val="FF0000"/>
        </w:rPr>
        <w:t xml:space="preserve"> </w:t>
      </w:r>
      <w:r w:rsidR="00E535EF">
        <w:rPr>
          <w:rFonts w:cs="Segoe UI"/>
        </w:rPr>
        <w:t>c</w:t>
      </w:r>
      <w:r w:rsidRPr="0064679B">
        <w:rPr>
          <w:rFonts w:cs="Segoe UI"/>
        </w:rPr>
        <w:t xml:space="preserve">onsumer financing would unlock an additional US $44 million in annual market size, reach an additional 460,000 households each year, increase total off-grid household reach to above 40% </w:t>
      </w:r>
      <w:r w:rsidRPr="002A56C6">
        <w:rPr>
          <w:rFonts w:cs="Segoe UI"/>
        </w:rPr>
        <w:t xml:space="preserve">per year, and raise levels of energy access to include more sophisticated solar home systems. </w:t>
      </w:r>
      <w:r w:rsidR="00C7434F" w:rsidRPr="002A56C6">
        <w:rPr>
          <w:rFonts w:cs="Segoe UI"/>
        </w:rPr>
        <w:t>Further details on the analysis are presented in the next two chapters, first for the over-the-counter market, and then for consumer financing.</w:t>
      </w:r>
      <w:r w:rsidR="002B2939" w:rsidRPr="002A56C6">
        <w:rPr>
          <w:rFonts w:cs="Segoe UI"/>
        </w:rPr>
        <w:t xml:space="preserve"> The methodology is descr</w:t>
      </w:r>
      <w:r w:rsidR="00583EF3">
        <w:rPr>
          <w:rFonts w:cs="Segoe UI"/>
        </w:rPr>
        <w:t>ibed in detail in Appendix B.1.</w:t>
      </w:r>
    </w:p>
    <w:p w14:paraId="5B41D460" w14:textId="71631476" w:rsidR="0064679B" w:rsidRPr="0064679B" w:rsidRDefault="0064679B" w:rsidP="001C46F8">
      <w:pPr>
        <w:pStyle w:val="H3NEWreportStyle"/>
        <w:numPr>
          <w:ilvl w:val="2"/>
          <w:numId w:val="41"/>
        </w:numPr>
        <w:spacing w:before="360"/>
      </w:pPr>
      <w:bookmarkStart w:id="50" w:name="_Toc501097030"/>
      <w:r w:rsidRPr="0064679B">
        <w:lastRenderedPageBreak/>
        <w:t>Market for solar home devices with no consumer finance</w:t>
      </w:r>
      <w:bookmarkEnd w:id="48"/>
      <w:bookmarkEnd w:id="49"/>
      <w:bookmarkEnd w:id="50"/>
    </w:p>
    <w:p w14:paraId="077D52A0" w14:textId="4E3FB1D7" w:rsidR="0064679B" w:rsidRPr="0064679B" w:rsidRDefault="0064679B" w:rsidP="0064679B">
      <w:pPr>
        <w:keepLines/>
        <w:jc w:val="both"/>
        <w:rPr>
          <w:rFonts w:cs="Segoe UI"/>
        </w:rPr>
      </w:pPr>
      <w:r w:rsidRPr="0064679B">
        <w:rPr>
          <w:rFonts w:cs="Segoe UI"/>
        </w:rPr>
        <w:t>In the absence of consumer finance options</w:t>
      </w:r>
      <w:r w:rsidR="00BE2146">
        <w:rPr>
          <w:rFonts w:cs="Segoe UI"/>
        </w:rPr>
        <w:t xml:space="preserve"> –</w:t>
      </w:r>
      <w:r w:rsidRPr="0064679B">
        <w:rPr>
          <w:rFonts w:cs="Segoe UI"/>
        </w:rPr>
        <w:t xml:space="preserve"> that is assuming that consumers have to pay the full cash value for products up-front</w:t>
      </w:r>
      <w:r w:rsidR="00BE2146">
        <w:rPr>
          <w:rFonts w:cs="Segoe UI"/>
        </w:rPr>
        <w:t xml:space="preserve"> –</w:t>
      </w:r>
      <w:r w:rsidRPr="0064679B">
        <w:rPr>
          <w:rFonts w:cs="Segoe UI"/>
        </w:rPr>
        <w:t xml:space="preserve"> we estimate the total market for solar home devices in Niger at around US $12 million. </w:t>
      </w:r>
      <w:r w:rsidR="0054767F">
        <w:rPr>
          <w:rFonts w:cs="Segoe UI"/>
        </w:rPr>
        <w:fldChar w:fldCharType="begin"/>
      </w:r>
      <w:r w:rsidR="0054767F">
        <w:rPr>
          <w:rFonts w:cs="Segoe UI"/>
        </w:rPr>
        <w:instrText xml:space="preserve"> REF _Ref486536228 \h </w:instrText>
      </w:r>
      <w:r w:rsidR="0054767F">
        <w:rPr>
          <w:rFonts w:cs="Segoe UI"/>
        </w:rPr>
      </w:r>
      <w:r w:rsidR="0054767F">
        <w:rPr>
          <w:rFonts w:cs="Segoe UI"/>
        </w:rPr>
        <w:fldChar w:fldCharType="separate"/>
      </w:r>
      <w:r w:rsidR="000D1C35">
        <w:t xml:space="preserve">Figure </w:t>
      </w:r>
      <w:r w:rsidR="000D1C35">
        <w:rPr>
          <w:noProof/>
        </w:rPr>
        <w:t>9</w:t>
      </w:r>
      <w:r w:rsidR="0054767F">
        <w:rPr>
          <w:rFonts w:cs="Segoe UI"/>
        </w:rPr>
        <w:fldChar w:fldCharType="end"/>
      </w:r>
      <w:r w:rsidR="0054767F">
        <w:rPr>
          <w:rFonts w:cs="Segoe UI"/>
        </w:rPr>
        <w:t xml:space="preserve"> </w:t>
      </w:r>
      <w:r w:rsidRPr="0064679B">
        <w:rPr>
          <w:rFonts w:cs="Segoe UI"/>
        </w:rPr>
        <w:t xml:space="preserve">breaks the market size down by product; in the absence of financing, almost 80% of this market in terms of units is in the form of small standing lights, which also make up around 50% of the market in terms of value. The small light and mobile charger makes up nearly 20% of the remaining sales volume (and 49% of market size). </w:t>
      </w:r>
    </w:p>
    <w:p w14:paraId="6DD77F3E" w14:textId="43551BF7" w:rsidR="0064679B" w:rsidRPr="0064679B" w:rsidRDefault="0064679B" w:rsidP="0064679B">
      <w:pPr>
        <w:keepLines/>
        <w:jc w:val="both"/>
        <w:rPr>
          <w:rFonts w:cs="Segoe UI"/>
        </w:rPr>
      </w:pPr>
      <w:r w:rsidRPr="0064679B">
        <w:rPr>
          <w:rFonts w:cs="Segoe UI"/>
        </w:rPr>
        <w:t>With an annual sales volume of around 2,000 units of the small multi</w:t>
      </w:r>
      <w:r w:rsidR="00BE2146">
        <w:rPr>
          <w:rFonts w:cs="Segoe UI"/>
        </w:rPr>
        <w:t>-</w:t>
      </w:r>
      <w:r w:rsidRPr="0064679B">
        <w:rPr>
          <w:rFonts w:cs="Segoe UI"/>
        </w:rPr>
        <w:t xml:space="preserve">room lighting system, the market for solar home systems without consumer financing is negligible, which is unsurprising given Niger’s low income levels. Somewhat counter-intuitively, this analysis shows no market for the cheapest device considered, simple study lights. This is mostly an artefact of our modelling, however, as the decile boundaries and our pricing assumptions happen to be such that the lowest income levels are either excluded from the market entirely or can afford the standing light. Similarly, while </w:t>
      </w:r>
      <w:r w:rsidRPr="0064679B">
        <w:rPr>
          <w:rFonts w:cs="Segoe UI"/>
        </w:rPr>
        <w:fldChar w:fldCharType="begin"/>
      </w:r>
      <w:r w:rsidRPr="0064679B">
        <w:rPr>
          <w:rFonts w:cs="Segoe UI"/>
        </w:rPr>
        <w:instrText xml:space="preserve"> REF _Ref465842308 </w:instrText>
      </w:r>
      <w:r w:rsidRPr="0064679B">
        <w:rPr>
          <w:rFonts w:cs="Segoe UI"/>
        </w:rPr>
        <w:fldChar w:fldCharType="separate"/>
      </w:r>
      <w:r w:rsidR="000D1C35" w:rsidRPr="0064679B">
        <w:t xml:space="preserve">Table </w:t>
      </w:r>
      <w:r w:rsidR="000D1C35">
        <w:rPr>
          <w:noProof/>
        </w:rPr>
        <w:t>4</w:t>
      </w:r>
      <w:r w:rsidRPr="0064679B">
        <w:rPr>
          <w:rFonts w:cs="Segoe UI"/>
        </w:rPr>
        <w:fldChar w:fldCharType="end"/>
      </w:r>
      <w:r w:rsidRPr="0064679B">
        <w:rPr>
          <w:rFonts w:cs="Segoe UI"/>
        </w:rPr>
        <w:t xml:space="preserve"> shows that, based on average expenditure levels, the 4</w:t>
      </w:r>
      <w:r w:rsidRPr="0064679B">
        <w:rPr>
          <w:rFonts w:cs="Segoe UI"/>
          <w:vertAlign w:val="superscript"/>
        </w:rPr>
        <w:t>th</w:t>
      </w:r>
      <w:r w:rsidRPr="0064679B">
        <w:rPr>
          <w:rFonts w:cs="Segoe UI"/>
        </w:rPr>
        <w:t xml:space="preserve"> decile can at most afford the simple study light in over-the-counter transactions, no Nigerien commune matches the national average -- the commune level analysis reveals that there are no sales of the simple study light. As it happens, this aligns well with consumer focus group and consultation insights, that consumers want slightly larger lanterns, ideally with phone charging capabilities, and the simple study light does not offer sufficient features to compete with the cheaper informal market products. </w:t>
      </w:r>
    </w:p>
    <w:p w14:paraId="3769839D" w14:textId="79140D27" w:rsidR="00766A14" w:rsidRDefault="00766A14" w:rsidP="00766A14">
      <w:pPr>
        <w:pStyle w:val="Caption"/>
        <w:jc w:val="both"/>
      </w:pPr>
      <w:bookmarkStart w:id="51" w:name="_Ref486536228"/>
      <w:bookmarkStart w:id="52" w:name="_Toc500969346"/>
      <w:r>
        <w:t xml:space="preserve">Figure </w:t>
      </w:r>
      <w:fldSimple w:instr=" SEQ Figure \* ARABIC ">
        <w:r w:rsidR="000D1C35">
          <w:rPr>
            <w:noProof/>
          </w:rPr>
          <w:t>9</w:t>
        </w:r>
      </w:fldSimple>
      <w:bookmarkEnd w:id="51"/>
      <w:r>
        <w:t xml:space="preserve">: </w:t>
      </w:r>
      <w:r w:rsidRPr="00A33A84">
        <w:t>Solar lantern and solar home system sales volume potential without consumer financing</w:t>
      </w:r>
      <w:bookmarkEnd w:id="52"/>
    </w:p>
    <w:p w14:paraId="1FC9A4A6" w14:textId="77777777" w:rsidR="00766A14" w:rsidRDefault="00766A14" w:rsidP="0064679B">
      <w:pPr>
        <w:keepLines/>
        <w:jc w:val="both"/>
        <w:rPr>
          <w:rFonts w:cs="Segoe UI"/>
        </w:rPr>
      </w:pPr>
      <w:r w:rsidRPr="0064679B">
        <w:rPr>
          <w:noProof/>
        </w:rPr>
        <w:drawing>
          <wp:inline distT="0" distB="0" distL="0" distR="0" wp14:anchorId="08D87764" wp14:editId="038EFD18">
            <wp:extent cx="5001768" cy="2980944"/>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01768" cy="2980944"/>
                    </a:xfrm>
                    <a:prstGeom prst="rect">
                      <a:avLst/>
                    </a:prstGeom>
                  </pic:spPr>
                </pic:pic>
              </a:graphicData>
            </a:graphic>
          </wp:inline>
        </w:drawing>
      </w:r>
    </w:p>
    <w:p w14:paraId="7F39536C" w14:textId="018C64AA" w:rsidR="0064679B" w:rsidRPr="0064679B" w:rsidRDefault="0064679B" w:rsidP="0064679B">
      <w:pPr>
        <w:keepLines/>
        <w:jc w:val="both"/>
        <w:rPr>
          <w:rFonts w:cs="Segoe UI"/>
        </w:rPr>
      </w:pPr>
      <w:r w:rsidRPr="0064679B">
        <w:rPr>
          <w:rFonts w:cs="Segoe UI"/>
        </w:rPr>
        <w:t>The demand distribution across regions (</w:t>
      </w:r>
      <w:r w:rsidR="0054767F">
        <w:rPr>
          <w:rFonts w:cs="Segoe UI"/>
        </w:rPr>
        <w:fldChar w:fldCharType="begin"/>
      </w:r>
      <w:r w:rsidR="0054767F">
        <w:rPr>
          <w:rFonts w:cs="Segoe UI"/>
        </w:rPr>
        <w:instrText xml:space="preserve"> REF _Ref486536262 \h </w:instrText>
      </w:r>
      <w:r w:rsidR="0054767F">
        <w:rPr>
          <w:rFonts w:cs="Segoe UI"/>
        </w:rPr>
      </w:r>
      <w:r w:rsidR="0054767F">
        <w:rPr>
          <w:rFonts w:cs="Segoe UI"/>
        </w:rPr>
        <w:fldChar w:fldCharType="separate"/>
      </w:r>
      <w:r w:rsidR="000D1C35">
        <w:t xml:space="preserve">Figure </w:t>
      </w:r>
      <w:r w:rsidR="000D1C35">
        <w:rPr>
          <w:noProof/>
        </w:rPr>
        <w:t>10</w:t>
      </w:r>
      <w:r w:rsidR="0054767F">
        <w:rPr>
          <w:rFonts w:cs="Segoe UI"/>
        </w:rPr>
        <w:fldChar w:fldCharType="end"/>
      </w:r>
      <w:r w:rsidRPr="0064679B">
        <w:rPr>
          <w:rFonts w:cs="Segoe UI"/>
        </w:rPr>
        <w:t xml:space="preserve">) broadly reflects </w:t>
      </w:r>
      <w:r w:rsidR="00F67EA5">
        <w:rPr>
          <w:rFonts w:cs="Segoe UI"/>
        </w:rPr>
        <w:t>larger</w:t>
      </w:r>
      <w:r w:rsidR="00F67EA5" w:rsidRPr="0064679B">
        <w:rPr>
          <w:rFonts w:cs="Segoe UI"/>
        </w:rPr>
        <w:t xml:space="preserve"> </w:t>
      </w:r>
      <w:r w:rsidRPr="0064679B">
        <w:rPr>
          <w:rFonts w:cs="Segoe UI"/>
        </w:rPr>
        <w:t xml:space="preserve">populations and </w:t>
      </w:r>
      <w:r w:rsidR="00F67EA5">
        <w:rPr>
          <w:rFonts w:cs="Segoe UI"/>
        </w:rPr>
        <w:t xml:space="preserve">higher </w:t>
      </w:r>
      <w:r w:rsidRPr="0064679B">
        <w:rPr>
          <w:rFonts w:cs="Segoe UI"/>
        </w:rPr>
        <w:t xml:space="preserve">concentration of agricultural wealth in Niger’s south and south east, with the exception of Niamey, which has a much higher grid connection rate than other regions (72% vs. 16%). </w:t>
      </w:r>
    </w:p>
    <w:p w14:paraId="6D28D65D" w14:textId="140733F5" w:rsidR="0064679B" w:rsidRPr="0064679B" w:rsidRDefault="00562AEC" w:rsidP="0064679B">
      <w:pPr>
        <w:jc w:val="both"/>
        <w:rPr>
          <w:rFonts w:cs="Segoe UI"/>
        </w:rPr>
      </w:pPr>
      <w:r w:rsidRPr="0064679B">
        <w:rPr>
          <w:rFonts w:cs="Segoe UI"/>
          <w:noProof/>
        </w:rPr>
        <w:lastRenderedPageBreak/>
        <mc:AlternateContent>
          <mc:Choice Requires="wpg">
            <w:drawing>
              <wp:anchor distT="0" distB="0" distL="114300" distR="114300" simplePos="0" relativeHeight="251729920" behindDoc="0" locked="0" layoutInCell="1" allowOverlap="1" wp14:anchorId="4DF6910E" wp14:editId="1483CAE6">
                <wp:simplePos x="0" y="0"/>
                <wp:positionH relativeFrom="margin">
                  <wp:align>left</wp:align>
                </wp:positionH>
                <wp:positionV relativeFrom="paragraph">
                  <wp:posOffset>1460500</wp:posOffset>
                </wp:positionV>
                <wp:extent cx="6351905" cy="2623820"/>
                <wp:effectExtent l="0" t="0" r="0" b="5080"/>
                <wp:wrapTopAndBottom/>
                <wp:docPr id="70" name="Group 70"/>
                <wp:cNvGraphicFramePr/>
                <a:graphic xmlns:a="http://schemas.openxmlformats.org/drawingml/2006/main">
                  <a:graphicData uri="http://schemas.microsoft.com/office/word/2010/wordprocessingGroup">
                    <wpg:wgp>
                      <wpg:cNvGrpSpPr/>
                      <wpg:grpSpPr>
                        <a:xfrm>
                          <a:off x="0" y="0"/>
                          <a:ext cx="6351905" cy="2623820"/>
                          <a:chOff x="0" y="0"/>
                          <a:chExt cx="6351905" cy="2624345"/>
                        </a:xfrm>
                      </wpg:grpSpPr>
                      <wps:wsp>
                        <wps:cNvPr id="23" name="Text Box 23"/>
                        <wps:cNvSpPr txBox="1"/>
                        <wps:spPr>
                          <a:xfrm>
                            <a:off x="0" y="0"/>
                            <a:ext cx="6351905" cy="188595"/>
                          </a:xfrm>
                          <a:prstGeom prst="rect">
                            <a:avLst/>
                          </a:prstGeom>
                          <a:solidFill>
                            <a:prstClr val="white"/>
                          </a:solidFill>
                          <a:ln>
                            <a:noFill/>
                          </a:ln>
                        </wps:spPr>
                        <wps:txbx>
                          <w:txbxContent>
                            <w:p w14:paraId="7BF8E476" w14:textId="719AE846" w:rsidR="00BB3453" w:rsidRPr="001E1FEA" w:rsidRDefault="00BB3453" w:rsidP="0099462C">
                              <w:pPr>
                                <w:pStyle w:val="Caption"/>
                                <w:rPr>
                                  <w:noProof/>
                                </w:rPr>
                              </w:pPr>
                              <w:bookmarkStart w:id="53" w:name="_Ref486536262"/>
                              <w:bookmarkStart w:id="54" w:name="_Toc476298052"/>
                              <w:bookmarkStart w:id="55" w:name="_Toc500969347"/>
                              <w:r>
                                <w:t xml:space="preserve">Figure </w:t>
                              </w:r>
                              <w:fldSimple w:instr=" SEQ Figure \* ARABIC ">
                                <w:r>
                                  <w:rPr>
                                    <w:noProof/>
                                  </w:rPr>
                                  <w:t>10</w:t>
                                </w:r>
                              </w:fldSimple>
                              <w:bookmarkEnd w:id="53"/>
                              <w:r>
                                <w:t>: Solar lantern and solar home system market by Region without consumer financing</w:t>
                              </w:r>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02150"/>
                            <a:ext cx="5946140" cy="2322195"/>
                          </a:xfrm>
                          <a:prstGeom prst="rect">
                            <a:avLst/>
                          </a:prstGeom>
                        </pic:spPr>
                      </pic:pic>
                    </wpg:wgp>
                  </a:graphicData>
                </a:graphic>
              </wp:anchor>
            </w:drawing>
          </mc:Choice>
          <mc:Fallback>
            <w:pict>
              <v:group w14:anchorId="4DF6910E" id="Group 70" o:spid="_x0000_s1038" style="position:absolute;left:0;text-align:left;margin-left:0;margin-top:115pt;width:500.15pt;height:206.6pt;z-index:251729920;mso-position-horizontal:left;mso-position-horizontal-relative:margin" coordsize="6351905,26243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">
                <v:shape id="Text Box 23" o:spid="_x0000_s1039" type="#_x0000_t202" style="position:absolute;width:635190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ICUxQAA&#10;ANsAAAAPAAAAZHJzL2Rvd25yZXYueG1sRI/NasMwEITvhbyD2EAupZHrQ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cgJTFAAAA2wAAAA8AAAAAAAAAAAAAAAAAlwIAAGRycy9k&#10;b3ducmV2LnhtbFBLBQYAAAAABAAEAPUAAACJAwAAAAA=&#10;" stroked="f">
                  <v:textbox inset="0,0,0,0">
                    <w:txbxContent>
                      <w:p w14:paraId="7BF8E476" w14:textId="719AE846" w:rsidR="00BB3453" w:rsidRPr="001E1FEA" w:rsidRDefault="00BB3453" w:rsidP="0099462C">
                        <w:pPr>
                          <w:pStyle w:val="Caption"/>
                          <w:rPr>
                            <w:noProof/>
                          </w:rPr>
                        </w:pPr>
                        <w:bookmarkStart w:id="67" w:name="_Ref486536262"/>
                        <w:bookmarkStart w:id="68" w:name="_Toc476298052"/>
                        <w:bookmarkStart w:id="69" w:name="_Toc500969347"/>
                        <w:r>
                          <w:t xml:space="preserve">Figure </w:t>
                        </w:r>
                        <w:fldSimple w:instr=" SEQ Figure \* ARABIC ">
                          <w:r>
                            <w:rPr>
                              <w:noProof/>
                            </w:rPr>
                            <w:t>10</w:t>
                          </w:r>
                        </w:fldSimple>
                        <w:bookmarkEnd w:id="67"/>
                        <w:r>
                          <w:t>: Solar lantern and solar home system market by Region without consumer financing</w:t>
                        </w:r>
                        <w:bookmarkEnd w:id="68"/>
                        <w:bookmarkEnd w:id="69"/>
                      </w:p>
                    </w:txbxContent>
                  </v:textbox>
                </v:shape>
                <v:shape id="Picture 22" o:spid="_x0000_s1040" type="#_x0000_t75" style="position:absolute;top:302150;width:5946140;height:2322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m&#10;h9PFAAAA2wAAAA8AAABkcnMvZG93bnJldi54bWxEj0FrwkAUhO8F/8PyhN7qJhGkRtcggtCLUlNB&#10;vD2zzySYfRuy2yTtr+8WCj0OM/MNs85G04ieOldbVhDPIhDEhdU1lwrOH/uXVxDOI2tsLJOCL3KQ&#10;bSZPa0y1HfhEfe5LESDsUlRQed+mUrqiIoNuZlvi4N1tZ9AH2ZVSdzgEuGlkEkULabDmsFBhS7uK&#10;ikf+aRTMD8vr/b34PuW343JcHOPLVT8uSj1Px+0KhKfR/4f/2m9aQZLA75fwA+Tm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5ZofTxQAAANsAAAAPAAAAAAAAAAAAAAAAAJwC&#10;AABkcnMvZG93bnJldi54bWxQSwUGAAAAAAQABAD3AAAAjgMAAAAA&#10;">
                  <v:imagedata r:id="rId35" o:title=""/>
                  <v:path arrowok="t"/>
                </v:shape>
                <w10:wrap type="topAndBottom" anchorx="margin"/>
              </v:group>
            </w:pict>
          </mc:Fallback>
        </mc:AlternateContent>
      </w:r>
      <w:r w:rsidR="0064679B" w:rsidRPr="0064679B">
        <w:rPr>
          <w:rFonts w:cs="Segoe UI"/>
        </w:rPr>
        <w:t xml:space="preserve">Note that dividing consumer expenditure into deciles (or any discrete number of expenditure buckets) means that inevitably some detail is lost, particularly at the extremes of the distribution. In all likelihood, there will be a long tail of more affluent off-grid households in the top decile that is able to afford large solar home systems or home installations. In absolute terms, however, we would expect this to only have a marginal impact on overall market size. </w:t>
      </w:r>
    </w:p>
    <w:p w14:paraId="5EE5D43C" w14:textId="77777777" w:rsidR="00F67EA5" w:rsidRDefault="00F67EA5" w:rsidP="0064679B">
      <w:pPr>
        <w:jc w:val="both"/>
        <w:rPr>
          <w:rFonts w:cs="Segoe UI"/>
        </w:rPr>
      </w:pPr>
      <w:bookmarkStart w:id="56" w:name="_Toc467667463"/>
    </w:p>
    <w:p w14:paraId="320BE9B9" w14:textId="77777777" w:rsidR="00F67EA5" w:rsidRDefault="00F67EA5" w:rsidP="0064679B">
      <w:pPr>
        <w:jc w:val="both"/>
        <w:rPr>
          <w:rFonts w:cs="Segoe UI"/>
        </w:rPr>
      </w:pPr>
    </w:p>
    <w:p w14:paraId="52B498EF" w14:textId="4675ECE7" w:rsidR="0064679B" w:rsidRPr="0064679B" w:rsidRDefault="0064679B" w:rsidP="0064679B">
      <w:pPr>
        <w:jc w:val="both"/>
      </w:pPr>
      <w:r w:rsidRPr="0064679B">
        <w:rPr>
          <w:rFonts w:cs="Segoe UI"/>
        </w:rPr>
        <w:t>As mentioned, in the absence of exact data about consumers’ attitudes to saving, this analysis assumes that if consumers are sufficiently aware of the benefits of home solar technology compared to traditional lighting methods (and compared to having to travel to town centers to charge their phones), they would be able and willing to allocate three months’ worth of household energy spend</w:t>
      </w:r>
      <w:r w:rsidR="00F67EA5">
        <w:rPr>
          <w:rFonts w:cs="Segoe UI"/>
        </w:rPr>
        <w:t>ing</w:t>
      </w:r>
      <w:r w:rsidRPr="0064679B">
        <w:rPr>
          <w:rFonts w:cs="Segoe UI"/>
        </w:rPr>
        <w:t xml:space="preserve"> to over-the-counter purchases of solar devices, either by saving for the product or by foregoing consumption in other areas. This assumption will likely break down for the poorest households who struggle to meet even basic needs, but as shown in </w:t>
      </w:r>
      <w:r w:rsidRPr="0064679B">
        <w:rPr>
          <w:rFonts w:cs="Segoe UI"/>
        </w:rPr>
        <w:fldChar w:fldCharType="begin"/>
      </w:r>
      <w:r w:rsidRPr="0064679B">
        <w:rPr>
          <w:rFonts w:cs="Segoe UI"/>
        </w:rPr>
        <w:instrText xml:space="preserve"> REF _Ref465842308 </w:instrText>
      </w:r>
      <w:r w:rsidRPr="0064679B">
        <w:rPr>
          <w:rFonts w:cs="Segoe UI"/>
        </w:rPr>
        <w:fldChar w:fldCharType="separate"/>
      </w:r>
      <w:r w:rsidR="000D1C35" w:rsidRPr="0064679B">
        <w:t xml:space="preserve">Table </w:t>
      </w:r>
      <w:r w:rsidR="000D1C35">
        <w:rPr>
          <w:noProof/>
        </w:rPr>
        <w:t>4</w:t>
      </w:r>
      <w:r w:rsidRPr="0064679B">
        <w:rPr>
          <w:rFonts w:cs="Segoe UI"/>
        </w:rPr>
        <w:fldChar w:fldCharType="end"/>
      </w:r>
      <w:r w:rsidRPr="0064679B">
        <w:rPr>
          <w:rFonts w:cs="Segoe UI"/>
        </w:rPr>
        <w:t xml:space="preserve">, these are excluded from the market in any case without some sort </w:t>
      </w:r>
      <w:r w:rsidRPr="0064679B">
        <w:t>of consumer financing or affordability intervention.</w:t>
      </w:r>
    </w:p>
    <w:p w14:paraId="755BD912" w14:textId="77777777" w:rsidR="0064679B" w:rsidRPr="0064679B" w:rsidRDefault="0064679B" w:rsidP="001C46F8">
      <w:pPr>
        <w:pStyle w:val="H3NEWreportStyle"/>
        <w:numPr>
          <w:ilvl w:val="2"/>
          <w:numId w:val="41"/>
        </w:numPr>
        <w:spacing w:before="360"/>
      </w:pPr>
      <w:bookmarkStart w:id="57" w:name="_Toc476298019"/>
      <w:bookmarkStart w:id="58" w:name="_Toc501097031"/>
      <w:r w:rsidRPr="0064679B">
        <w:t>Market for SL and SHS with consumer financing</w:t>
      </w:r>
      <w:bookmarkEnd w:id="56"/>
      <w:bookmarkEnd w:id="57"/>
      <w:bookmarkEnd w:id="58"/>
    </w:p>
    <w:p w14:paraId="5FA375FB" w14:textId="27AFF05A" w:rsidR="0064679B" w:rsidRPr="0064679B" w:rsidRDefault="0064679B" w:rsidP="0064679B">
      <w:pPr>
        <w:jc w:val="both"/>
        <w:rPr>
          <w:rFonts w:cs="Segoe UI"/>
        </w:rPr>
      </w:pPr>
      <w:r w:rsidRPr="0064679B">
        <w:rPr>
          <w:rFonts w:cs="Segoe UI"/>
        </w:rPr>
        <w:t xml:space="preserve">Adding a consumer finance dimension to the same products increases the size of the potential market to almost US $57 million. The inclusion of this option means the poorest households can enter the market while those already in the market are now able to afford larger, more versatile systems. Similarly, consumer finance creates an additional market for larger solar home systems that was entirely absent in the scenario without financing. As shown in </w:t>
      </w:r>
      <w:r w:rsidRPr="0064679B">
        <w:rPr>
          <w:rFonts w:cs="Segoe UI"/>
        </w:rPr>
        <w:fldChar w:fldCharType="begin"/>
      </w:r>
      <w:r w:rsidRPr="0064679B">
        <w:rPr>
          <w:rFonts w:cs="Segoe UI"/>
        </w:rPr>
        <w:instrText xml:space="preserve"> REF _Ref469154782 </w:instrText>
      </w:r>
      <w:r w:rsidRPr="0064679B">
        <w:rPr>
          <w:rFonts w:cs="Segoe UI"/>
        </w:rPr>
        <w:fldChar w:fldCharType="separate"/>
      </w:r>
      <w:r w:rsidR="000D1C35" w:rsidRPr="0064679B">
        <w:t xml:space="preserve">Figure </w:t>
      </w:r>
      <w:r w:rsidR="000D1C35">
        <w:rPr>
          <w:noProof/>
        </w:rPr>
        <w:t>11</w:t>
      </w:r>
      <w:r w:rsidRPr="0064679B">
        <w:rPr>
          <w:rFonts w:cs="Segoe UI"/>
        </w:rPr>
        <w:fldChar w:fldCharType="end"/>
      </w:r>
      <w:r w:rsidRPr="0064679B">
        <w:rPr>
          <w:rFonts w:cs="Segoe UI"/>
        </w:rPr>
        <w:t>, larger solar home systems (&gt;10W) now make up around 10% of the market by sales volumes</w:t>
      </w:r>
      <w:r w:rsidR="00667556">
        <w:rPr>
          <w:rFonts w:cs="Segoe UI"/>
        </w:rPr>
        <w:t>,</w:t>
      </w:r>
      <w:r w:rsidRPr="0064679B">
        <w:rPr>
          <w:rFonts w:cs="Segoe UI"/>
        </w:rPr>
        <w:t xml:space="preserve"> but over 55% of its value. In contrast, the simple study light represents 57% of market sales volume, but only 6% of value. </w:t>
      </w:r>
    </w:p>
    <w:p w14:paraId="1CF2147F" w14:textId="66CAF8A3" w:rsidR="0064679B" w:rsidRPr="0064679B" w:rsidRDefault="0064679B" w:rsidP="0099462C">
      <w:pPr>
        <w:pStyle w:val="Caption"/>
      </w:pPr>
      <w:bookmarkStart w:id="59" w:name="_Ref469154782"/>
      <w:bookmarkStart w:id="60" w:name="_Toc476298054"/>
      <w:bookmarkStart w:id="61" w:name="_Toc500969348"/>
      <w:r w:rsidRPr="0064679B">
        <w:lastRenderedPageBreak/>
        <w:t xml:space="preserve">Figure </w:t>
      </w:r>
      <w:fldSimple w:instr=" SEQ Figure \* ARABIC ">
        <w:r w:rsidR="000D1C35">
          <w:rPr>
            <w:noProof/>
          </w:rPr>
          <w:t>11</w:t>
        </w:r>
      </w:fldSimple>
      <w:bookmarkEnd w:id="59"/>
      <w:r w:rsidRPr="0064679B">
        <w:t>: Solar lantern and solar home system sales volume potential with consumer financing</w:t>
      </w:r>
      <w:bookmarkEnd w:id="60"/>
      <w:bookmarkEnd w:id="61"/>
    </w:p>
    <w:p w14:paraId="0E091EB6" w14:textId="77777777" w:rsidR="0064679B" w:rsidRPr="0064679B" w:rsidRDefault="0064679B" w:rsidP="0064679B">
      <w:pPr>
        <w:jc w:val="both"/>
        <w:rPr>
          <w:rFonts w:cs="Segoe UI"/>
        </w:rPr>
      </w:pPr>
      <w:r w:rsidRPr="0064679B">
        <w:rPr>
          <w:noProof/>
        </w:rPr>
        <w:drawing>
          <wp:inline distT="0" distB="0" distL="0" distR="0" wp14:anchorId="48ED8972" wp14:editId="5BBEA38B">
            <wp:extent cx="5138928" cy="2962656"/>
            <wp:effectExtent l="0" t="0" r="508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8928" cy="2962656"/>
                    </a:xfrm>
                    <a:prstGeom prst="rect">
                      <a:avLst/>
                    </a:prstGeom>
                  </pic:spPr>
                </pic:pic>
              </a:graphicData>
            </a:graphic>
          </wp:inline>
        </w:drawing>
      </w:r>
    </w:p>
    <w:p w14:paraId="0EEBE60A" w14:textId="5AAB2201" w:rsidR="0064679B" w:rsidRPr="0064679B" w:rsidRDefault="0064679B" w:rsidP="0064679B">
      <w:pPr>
        <w:jc w:val="both"/>
        <w:rPr>
          <w:rFonts w:cs="Segoe UI"/>
        </w:rPr>
      </w:pPr>
      <w:r w:rsidRPr="0064679B">
        <w:rPr>
          <w:rFonts w:cs="Segoe UI"/>
        </w:rPr>
        <w:t xml:space="preserve">As in the case with no consumer financing above, the proximity of the lower deciles to one another in terms of energy expenditure means that the market size for cheaper products is highly sensitive to small changes in pricing and financing parameters. In this case, the decile distribution means that poorer consumers are either able to afford only the simple study light, or are already able to afford the light </w:t>
      </w:r>
      <w:r w:rsidR="00262428">
        <w:rPr>
          <w:rFonts w:cs="Segoe UI"/>
        </w:rPr>
        <w:t>and</w:t>
      </w:r>
      <w:r w:rsidRPr="0064679B">
        <w:rPr>
          <w:rFonts w:cs="Segoe UI"/>
        </w:rPr>
        <w:t xml:space="preserve"> mobile charger, leaving a gap for the standing light. In reality, we would expect that some of the market from the study light and the light</w:t>
      </w:r>
      <w:r w:rsidR="00262428">
        <w:rPr>
          <w:rFonts w:cs="Segoe UI"/>
        </w:rPr>
        <w:t xml:space="preserve"> and</w:t>
      </w:r>
      <w:r w:rsidRPr="0064679B">
        <w:rPr>
          <w:rFonts w:cs="Segoe UI"/>
        </w:rPr>
        <w:t xml:space="preserve"> mobile charger would spill over into the standing light market. </w:t>
      </w:r>
    </w:p>
    <w:p w14:paraId="0AE4D0C6" w14:textId="6DF1967C" w:rsidR="0064679B" w:rsidRPr="0064679B" w:rsidRDefault="0064679B" w:rsidP="0099462C">
      <w:pPr>
        <w:pStyle w:val="Caption"/>
      </w:pPr>
      <w:bookmarkStart w:id="62" w:name="_Ref476151065"/>
      <w:bookmarkStart w:id="63" w:name="_Toc476298055"/>
      <w:bookmarkStart w:id="64" w:name="_Toc500969349"/>
      <w:r w:rsidRPr="0064679B">
        <w:t xml:space="preserve">Figure </w:t>
      </w:r>
      <w:fldSimple w:instr=" SEQ Figure \* ARABIC ">
        <w:r w:rsidR="000D1C35">
          <w:rPr>
            <w:noProof/>
          </w:rPr>
          <w:t>12</w:t>
        </w:r>
      </w:fldSimple>
      <w:bookmarkEnd w:id="62"/>
      <w:r w:rsidRPr="0064679B">
        <w:t>: Solar lantern and solar home system market by Region with consumer financing</w:t>
      </w:r>
      <w:bookmarkEnd w:id="63"/>
      <w:bookmarkEnd w:id="64"/>
    </w:p>
    <w:p w14:paraId="0729E5D2" w14:textId="77777777" w:rsidR="0064679B" w:rsidRPr="0064679B" w:rsidRDefault="0064679B" w:rsidP="0064679B">
      <w:pPr>
        <w:jc w:val="both"/>
        <w:rPr>
          <w:rFonts w:cs="Segoe UI"/>
        </w:rPr>
      </w:pPr>
      <w:r w:rsidRPr="0064679B">
        <w:rPr>
          <w:noProof/>
        </w:rPr>
        <w:drawing>
          <wp:inline distT="0" distB="0" distL="0" distR="0" wp14:anchorId="3B94F020" wp14:editId="5BCCD34A">
            <wp:extent cx="5943600"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05050"/>
                    </a:xfrm>
                    <a:prstGeom prst="rect">
                      <a:avLst/>
                    </a:prstGeom>
                  </pic:spPr>
                </pic:pic>
              </a:graphicData>
            </a:graphic>
          </wp:inline>
        </w:drawing>
      </w:r>
    </w:p>
    <w:p w14:paraId="6D624B01" w14:textId="77777777" w:rsidR="0064679B" w:rsidRPr="0064679B" w:rsidRDefault="0064679B" w:rsidP="0064679B">
      <w:pPr>
        <w:jc w:val="both"/>
        <w:rPr>
          <w:rFonts w:cs="Segoe UI"/>
        </w:rPr>
      </w:pPr>
      <w:r w:rsidRPr="0064679B">
        <w:rPr>
          <w:rFonts w:cs="Segoe UI"/>
        </w:rPr>
        <w:t xml:space="preserve">The analysis assumes that households that are able to regularly make a payment towards a solar device are also able to save up to three months to pay the upfront deposit (typically 10% of the over-the-counter purchase price, representing up to 3 times the monthly payment). If instead households are only able to spend their existing monthly energy spend on the upfront deposit, for instance, the market shrinks by </w:t>
      </w:r>
      <w:r w:rsidRPr="0064679B">
        <w:rPr>
          <w:rFonts w:cs="Segoe UI"/>
        </w:rPr>
        <w:lastRenderedPageBreak/>
        <w:t xml:space="preserve">about 25%. Further data on household saving patterns and non-financial forms of wealth (e.g. livestock) would be needed to test this assumption more closely. On the other hand, the model is potentially conservative in that it assumes that each household only purchases one unit. Our experience from other Sub Saharan African markets suggest that typically a significant number of households would purchase more than one unit, especially for smaller, lower-cost systems.  </w:t>
      </w:r>
    </w:p>
    <w:p w14:paraId="6EE45B86" w14:textId="77777777" w:rsidR="0064679B" w:rsidRPr="0064679B" w:rsidRDefault="0064679B" w:rsidP="001C46F8">
      <w:pPr>
        <w:pStyle w:val="H3NEWreportStyle"/>
        <w:numPr>
          <w:ilvl w:val="2"/>
          <w:numId w:val="41"/>
        </w:numPr>
        <w:spacing w:before="360"/>
      </w:pPr>
      <w:bookmarkStart w:id="65" w:name="_Toc476298020"/>
      <w:bookmarkStart w:id="66" w:name="_Toc501097032"/>
      <w:r w:rsidRPr="0064679B">
        <w:t>Consumer benefits from switching to solar</w:t>
      </w:r>
      <w:bookmarkEnd w:id="65"/>
      <w:bookmarkEnd w:id="66"/>
    </w:p>
    <w:p w14:paraId="49980EC1" w14:textId="1BEEC8E4" w:rsidR="0064679B" w:rsidRPr="0064679B" w:rsidRDefault="00D47B7A" w:rsidP="0064679B">
      <w:pPr>
        <w:jc w:val="both"/>
        <w:rPr>
          <w:rFonts w:cs="Segoe UI"/>
        </w:rPr>
      </w:pPr>
      <w:r w:rsidRPr="00316D37">
        <w:rPr>
          <w:rFonts w:cs="Segoe UI"/>
        </w:rPr>
        <w:t>We now analy</w:t>
      </w:r>
      <w:r w:rsidR="001B2B58">
        <w:rPr>
          <w:rFonts w:cs="Segoe UI"/>
        </w:rPr>
        <w:t>z</w:t>
      </w:r>
      <w:r w:rsidRPr="00316D37">
        <w:rPr>
          <w:rFonts w:cs="Segoe UI"/>
        </w:rPr>
        <w:t>e</w:t>
      </w:r>
      <w:r w:rsidR="0064679B" w:rsidRPr="00316D37">
        <w:rPr>
          <w:rFonts w:cs="Segoe UI"/>
        </w:rPr>
        <w:t xml:space="preserve"> household consumer benefits from switching from traditional lighting methods to solar. </w:t>
      </w:r>
      <w:r w:rsidR="00111DF1" w:rsidRPr="00316D37">
        <w:rPr>
          <w:rFonts w:cs="Segoe UI"/>
        </w:rPr>
        <w:t>O</w:t>
      </w:r>
      <w:r w:rsidR="0064679B" w:rsidRPr="00316D37">
        <w:rPr>
          <w:rFonts w:cs="Segoe UI"/>
        </w:rPr>
        <w:t>ur focus groups revealed that the number one lighting method currently used in off-grid Niger is LED flashlights,</w:t>
      </w:r>
      <w:r w:rsidR="00111DF1" w:rsidRPr="00316D37">
        <w:rPr>
          <w:rFonts w:cs="Segoe UI"/>
        </w:rPr>
        <w:t xml:space="preserve"> which confirms the findings of market research performed by SNV in 2012.</w:t>
      </w:r>
      <w:r w:rsidR="00111DF1" w:rsidRPr="00316D37">
        <w:rPr>
          <w:rStyle w:val="FootnoteReference"/>
          <w:rFonts w:cs="Segoe UI"/>
        </w:rPr>
        <w:footnoteReference w:id="33"/>
      </w:r>
      <w:r w:rsidR="00111DF1" w:rsidRPr="00316D37">
        <w:rPr>
          <w:rFonts w:cs="Segoe UI"/>
        </w:rPr>
        <w:t xml:space="preserve"> </w:t>
      </w:r>
      <w:r w:rsidRPr="00316D37">
        <w:rPr>
          <w:rFonts w:cs="Segoe UI"/>
        </w:rPr>
        <w:t xml:space="preserve">To better understand why LED flashlights have such high uptake – which is relatively exceptional in Africa – we performed </w:t>
      </w:r>
      <w:r w:rsidR="001B2B58">
        <w:rPr>
          <w:rFonts w:cs="Segoe UI"/>
        </w:rPr>
        <w:t xml:space="preserve">a </w:t>
      </w:r>
      <w:r w:rsidRPr="00316D37">
        <w:rPr>
          <w:rFonts w:cs="Segoe UI"/>
        </w:rPr>
        <w:t xml:space="preserve">cost analysis on different traditional lighting methods. Our analysis reveals </w:t>
      </w:r>
      <w:r w:rsidR="0064679B" w:rsidRPr="00316D37">
        <w:rPr>
          <w:rFonts w:cs="Segoe UI"/>
        </w:rPr>
        <w:t xml:space="preserve">that </w:t>
      </w:r>
      <w:r w:rsidR="001B2B58">
        <w:rPr>
          <w:rFonts w:cs="Segoe UI"/>
        </w:rPr>
        <w:t xml:space="preserve">in Niger </w:t>
      </w:r>
      <w:r w:rsidR="0064679B" w:rsidRPr="00316D37">
        <w:rPr>
          <w:rFonts w:cs="Segoe UI"/>
        </w:rPr>
        <w:t xml:space="preserve">LED flashlights are over twice as cost-effective as candles or kerosene. This is summarized in </w:t>
      </w:r>
      <w:r w:rsidR="0064679B" w:rsidRPr="00316D37">
        <w:rPr>
          <w:rFonts w:cs="Segoe UI"/>
        </w:rPr>
        <w:fldChar w:fldCharType="begin"/>
      </w:r>
      <w:r w:rsidR="0064679B" w:rsidRPr="00316D37">
        <w:rPr>
          <w:rFonts w:cs="Segoe UI"/>
        </w:rPr>
        <w:instrText xml:space="preserve"> REF _Ref476210672 \h </w:instrText>
      </w:r>
      <w:r w:rsidR="00316D37">
        <w:rPr>
          <w:rFonts w:cs="Segoe UI"/>
        </w:rPr>
        <w:instrText xml:space="preserve"> \* MERGEFORMAT </w:instrText>
      </w:r>
      <w:r w:rsidR="0064679B" w:rsidRPr="00316D37">
        <w:rPr>
          <w:rFonts w:cs="Segoe UI"/>
        </w:rPr>
      </w:r>
      <w:r w:rsidR="0064679B" w:rsidRPr="00316D37">
        <w:rPr>
          <w:rFonts w:cs="Segoe UI"/>
        </w:rPr>
        <w:fldChar w:fldCharType="separate"/>
      </w:r>
      <w:r w:rsidR="000D1C35" w:rsidRPr="0064679B">
        <w:t xml:space="preserve">Figure </w:t>
      </w:r>
      <w:r w:rsidR="000D1C35">
        <w:rPr>
          <w:noProof/>
        </w:rPr>
        <w:t>13</w:t>
      </w:r>
      <w:r w:rsidR="0064679B" w:rsidRPr="00316D37">
        <w:rPr>
          <w:rFonts w:cs="Segoe UI"/>
        </w:rPr>
        <w:fldChar w:fldCharType="end"/>
      </w:r>
      <w:r w:rsidR="0064679B" w:rsidRPr="00316D37">
        <w:rPr>
          <w:rFonts w:cs="Segoe UI"/>
        </w:rPr>
        <w:t xml:space="preserve"> below</w:t>
      </w:r>
      <w:r w:rsidR="0064679B" w:rsidRPr="00316D37">
        <w:rPr>
          <w:rFonts w:cs="Segoe UI"/>
          <w:vertAlign w:val="superscript"/>
        </w:rPr>
        <w:footnoteReference w:id="34"/>
      </w:r>
      <w:r w:rsidR="0064679B" w:rsidRPr="00316D37">
        <w:rPr>
          <w:rFonts w:cs="Segoe UI"/>
        </w:rPr>
        <w:t>. We therefore determine consumer benefits in two scenarios</w:t>
      </w:r>
      <w:r w:rsidR="0064679B" w:rsidRPr="0064679B">
        <w:rPr>
          <w:rFonts w:cs="Segoe UI"/>
        </w:rPr>
        <w:t xml:space="preserve">: (i) using a solar light and mobile charger (2-year lifetime) against using LED flashlights; and (ii) using a basic solar home system (5-year lifetime) against using a diesel generator. </w:t>
      </w:r>
    </w:p>
    <w:p w14:paraId="697ACB51" w14:textId="2223ACA3" w:rsidR="0064679B" w:rsidRPr="0064679B" w:rsidRDefault="0064679B" w:rsidP="0099462C">
      <w:pPr>
        <w:pStyle w:val="Caption"/>
      </w:pPr>
      <w:bookmarkStart w:id="67" w:name="_Ref476210672"/>
      <w:bookmarkStart w:id="68" w:name="_Toc476298056"/>
      <w:bookmarkStart w:id="69" w:name="_Toc500969350"/>
      <w:r w:rsidRPr="0064679B">
        <w:t xml:space="preserve">Figure </w:t>
      </w:r>
      <w:fldSimple w:instr=" SEQ Figure \* ARABIC ">
        <w:r w:rsidR="000D1C35">
          <w:rPr>
            <w:noProof/>
          </w:rPr>
          <w:t>13</w:t>
        </w:r>
      </w:fldSimple>
      <w:bookmarkEnd w:id="67"/>
      <w:r w:rsidRPr="0064679B">
        <w:t>: Annual cost of basic lighting by different lighting alternatives</w:t>
      </w:r>
      <w:bookmarkEnd w:id="68"/>
      <w:bookmarkEnd w:id="69"/>
    </w:p>
    <w:p w14:paraId="26D6CE06" w14:textId="77777777" w:rsidR="0064679B" w:rsidRPr="0064679B" w:rsidRDefault="0064679B" w:rsidP="0064679B">
      <w:pPr>
        <w:jc w:val="both"/>
        <w:rPr>
          <w:rFonts w:cs="Segoe UI"/>
        </w:rPr>
      </w:pPr>
      <w:r w:rsidRPr="0064679B">
        <w:rPr>
          <w:rFonts w:cs="Segoe UI"/>
          <w:noProof/>
        </w:rPr>
        <w:drawing>
          <wp:inline distT="0" distB="0" distL="0" distR="0" wp14:anchorId="5BD2ABA7" wp14:editId="3C10037B">
            <wp:extent cx="4535424" cy="299008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5424" cy="2990088"/>
                    </a:xfrm>
                    <a:prstGeom prst="rect">
                      <a:avLst/>
                    </a:prstGeom>
                    <a:noFill/>
                  </pic:spPr>
                </pic:pic>
              </a:graphicData>
            </a:graphic>
          </wp:inline>
        </w:drawing>
      </w:r>
    </w:p>
    <w:p w14:paraId="19AA8FBA" w14:textId="4B5DE0CF" w:rsidR="0064679B" w:rsidRDefault="0064679B" w:rsidP="0064679B">
      <w:pPr>
        <w:jc w:val="both"/>
        <w:rPr>
          <w:rFonts w:cs="Segoe UI"/>
        </w:rPr>
      </w:pPr>
      <w:r w:rsidRPr="0064679B">
        <w:rPr>
          <w:rFonts w:cs="Segoe UI"/>
        </w:rPr>
        <w:t xml:space="preserve">As shown in </w:t>
      </w:r>
      <w:r w:rsidRPr="0064679B">
        <w:rPr>
          <w:rFonts w:cs="Segoe UI"/>
        </w:rPr>
        <w:fldChar w:fldCharType="begin"/>
      </w:r>
      <w:r w:rsidRPr="0064679B">
        <w:rPr>
          <w:rFonts w:cs="Segoe UI"/>
        </w:rPr>
        <w:instrText xml:space="preserve"> REF _Ref476212270 \h </w:instrText>
      </w:r>
      <w:r w:rsidRPr="0064679B">
        <w:rPr>
          <w:rFonts w:cs="Segoe UI"/>
        </w:rPr>
      </w:r>
      <w:r w:rsidRPr="0064679B">
        <w:rPr>
          <w:rFonts w:cs="Segoe UI"/>
        </w:rPr>
        <w:fldChar w:fldCharType="separate"/>
      </w:r>
      <w:r w:rsidR="000D1C35" w:rsidRPr="0064679B">
        <w:t xml:space="preserve">Figure </w:t>
      </w:r>
      <w:r w:rsidR="000D1C35">
        <w:rPr>
          <w:noProof/>
        </w:rPr>
        <w:t>14</w:t>
      </w:r>
      <w:r w:rsidRPr="0064679B">
        <w:rPr>
          <w:rFonts w:cs="Segoe UI"/>
        </w:rPr>
        <w:fldChar w:fldCharType="end"/>
      </w:r>
      <w:r w:rsidRPr="0064679B">
        <w:rPr>
          <w:rFonts w:cs="Segoe UI"/>
        </w:rPr>
        <w:t>, off-grid, low income households in Niger using LED flashlights as their primary lighting source spend around US $29 for lighting, and an additional US $13 for mobile phone charging each year</w:t>
      </w:r>
      <w:r w:rsidRPr="0064679B">
        <w:rPr>
          <w:rFonts w:cs="Segoe UI"/>
          <w:vertAlign w:val="superscript"/>
        </w:rPr>
        <w:footnoteReference w:id="35"/>
      </w:r>
      <w:r w:rsidRPr="0064679B">
        <w:rPr>
          <w:rFonts w:cs="Segoe UI"/>
        </w:rPr>
        <w:t xml:space="preserve">. The ‘light and mobile charger’ has a market price of US $40 with </w:t>
      </w:r>
      <w:r w:rsidR="001B2B58">
        <w:rPr>
          <w:rFonts w:cs="Segoe UI"/>
        </w:rPr>
        <w:t xml:space="preserve">a </w:t>
      </w:r>
      <w:r w:rsidRPr="0064679B">
        <w:rPr>
          <w:rFonts w:cs="Segoe UI"/>
        </w:rPr>
        <w:t xml:space="preserve">(conservatively) estimated </w:t>
      </w:r>
      <w:r w:rsidRPr="0064679B">
        <w:rPr>
          <w:rFonts w:cs="Segoe UI"/>
        </w:rPr>
        <w:lastRenderedPageBreak/>
        <w:t>lifetime of 2 years, so that the annualized cost is US $20. As a result, households can save around US $22 per year by switching from LED flashlights to solar.</w:t>
      </w:r>
    </w:p>
    <w:p w14:paraId="245E6D4D" w14:textId="65C6B83E" w:rsidR="0099462C" w:rsidRDefault="0099462C" w:rsidP="0064679B">
      <w:pPr>
        <w:jc w:val="both"/>
        <w:rPr>
          <w:rFonts w:cs="Segoe UI"/>
        </w:rPr>
      </w:pPr>
    </w:p>
    <w:p w14:paraId="13970056" w14:textId="02D9BD26" w:rsidR="0099462C" w:rsidRDefault="0099462C" w:rsidP="0064679B">
      <w:pPr>
        <w:jc w:val="both"/>
        <w:rPr>
          <w:rFonts w:cs="Segoe UI"/>
        </w:rPr>
      </w:pPr>
    </w:p>
    <w:p w14:paraId="01476F61" w14:textId="4C95BDFC" w:rsidR="0099462C" w:rsidRPr="0064679B" w:rsidRDefault="0099462C" w:rsidP="0064679B">
      <w:pPr>
        <w:jc w:val="both"/>
        <w:rPr>
          <w:rFonts w:cs="Segoe UI"/>
        </w:rPr>
      </w:pPr>
    </w:p>
    <w:p w14:paraId="3F589A5A" w14:textId="3327320A" w:rsidR="0064679B" w:rsidRPr="0064679B" w:rsidRDefault="0064679B" w:rsidP="0099462C">
      <w:pPr>
        <w:pStyle w:val="Caption"/>
      </w:pPr>
      <w:bookmarkStart w:id="70" w:name="_Ref476212270"/>
      <w:bookmarkStart w:id="71" w:name="_Toc476298057"/>
      <w:bookmarkStart w:id="72" w:name="_Toc500969351"/>
      <w:r w:rsidRPr="0064679B">
        <w:t xml:space="preserve">Figure </w:t>
      </w:r>
      <w:fldSimple w:instr=" SEQ Figure \* ARABIC ">
        <w:r w:rsidR="000D1C35">
          <w:rPr>
            <w:noProof/>
          </w:rPr>
          <w:t>14</w:t>
        </w:r>
      </w:fldSimple>
      <w:bookmarkEnd w:id="70"/>
      <w:r w:rsidRPr="0064679B">
        <w:t>: Cost comparison of a LED flashlight with a solar lantern with phone charging capabilities</w:t>
      </w:r>
      <w:bookmarkEnd w:id="71"/>
      <w:bookmarkEnd w:id="72"/>
    </w:p>
    <w:p w14:paraId="452648FC" w14:textId="112105E0" w:rsidR="0064679B" w:rsidRPr="0064679B" w:rsidRDefault="009B2C40" w:rsidP="0064679B">
      <w:pPr>
        <w:jc w:val="both"/>
        <w:rPr>
          <w:rFonts w:cs="Segoe UI"/>
        </w:rPr>
      </w:pPr>
      <w:r>
        <w:rPr>
          <w:rFonts w:cs="Segoe UI"/>
          <w:noProof/>
        </w:rPr>
        <w:drawing>
          <wp:inline distT="0" distB="0" distL="0" distR="0" wp14:anchorId="7893C7FB" wp14:editId="2C052FC0">
            <wp:extent cx="5650992" cy="2990088"/>
            <wp:effectExtent l="0" t="0" r="698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0992" cy="2990088"/>
                    </a:xfrm>
                    <a:prstGeom prst="rect">
                      <a:avLst/>
                    </a:prstGeom>
                    <a:noFill/>
                  </pic:spPr>
                </pic:pic>
              </a:graphicData>
            </a:graphic>
          </wp:inline>
        </w:drawing>
      </w:r>
    </w:p>
    <w:p w14:paraId="68CAC0AA" w14:textId="77777777" w:rsidR="0064679B" w:rsidRPr="0064679B" w:rsidRDefault="0064679B" w:rsidP="0064679B">
      <w:pPr>
        <w:jc w:val="both"/>
        <w:rPr>
          <w:rFonts w:cs="Segoe UI"/>
        </w:rPr>
      </w:pPr>
      <w:r w:rsidRPr="0064679B">
        <w:rPr>
          <w:rFonts w:cs="Segoe UI"/>
        </w:rPr>
        <w:t>Next, we analyze consumer benefits from using a basic solar home system against using a small diesel generator; this analysis is based on the following assumptions:</w:t>
      </w:r>
    </w:p>
    <w:p w14:paraId="454E20C9" w14:textId="77777777" w:rsidR="0064679B" w:rsidRPr="0064679B" w:rsidRDefault="0064679B" w:rsidP="006A7E1D">
      <w:pPr>
        <w:numPr>
          <w:ilvl w:val="0"/>
          <w:numId w:val="25"/>
        </w:numPr>
        <w:spacing w:after="120"/>
        <w:jc w:val="both"/>
        <w:rPr>
          <w:rFonts w:cs="Segoe UI"/>
        </w:rPr>
      </w:pPr>
      <w:r w:rsidRPr="0064679B">
        <w:rPr>
          <w:rFonts w:cs="Segoe UI"/>
        </w:rPr>
        <w:t>The household has a daily energy need of around 100Wh per day to:</w:t>
      </w:r>
    </w:p>
    <w:p w14:paraId="614C8F7E" w14:textId="77777777" w:rsidR="0064679B" w:rsidRPr="0064679B" w:rsidRDefault="0064679B" w:rsidP="006A7E1D">
      <w:pPr>
        <w:numPr>
          <w:ilvl w:val="1"/>
          <w:numId w:val="25"/>
        </w:numPr>
        <w:spacing w:after="120"/>
        <w:jc w:val="both"/>
        <w:rPr>
          <w:rFonts w:cs="Segoe UI"/>
        </w:rPr>
      </w:pPr>
      <w:r w:rsidRPr="0064679B">
        <w:rPr>
          <w:rFonts w:cs="Segoe UI"/>
        </w:rPr>
        <w:t>Charge two mobile phones,</w:t>
      </w:r>
    </w:p>
    <w:p w14:paraId="5129B1C2" w14:textId="77777777" w:rsidR="0064679B" w:rsidRPr="0064679B" w:rsidRDefault="0064679B" w:rsidP="006A7E1D">
      <w:pPr>
        <w:numPr>
          <w:ilvl w:val="1"/>
          <w:numId w:val="25"/>
        </w:numPr>
        <w:spacing w:after="120"/>
        <w:jc w:val="both"/>
        <w:rPr>
          <w:rFonts w:cs="Segoe UI"/>
        </w:rPr>
      </w:pPr>
      <w:r w:rsidRPr="0064679B">
        <w:rPr>
          <w:rFonts w:cs="Segoe UI"/>
        </w:rPr>
        <w:t>Light 3 3W LED lightbulbs for 3 hours each, and</w:t>
      </w:r>
    </w:p>
    <w:p w14:paraId="47954946" w14:textId="77777777" w:rsidR="0064679B" w:rsidRPr="0064679B" w:rsidRDefault="0064679B" w:rsidP="006A7E1D">
      <w:pPr>
        <w:numPr>
          <w:ilvl w:val="1"/>
          <w:numId w:val="25"/>
        </w:numPr>
        <w:spacing w:after="120"/>
        <w:jc w:val="both"/>
        <w:rPr>
          <w:rFonts w:cs="Segoe UI"/>
        </w:rPr>
      </w:pPr>
      <w:r w:rsidRPr="0064679B">
        <w:rPr>
          <w:rFonts w:cs="Segoe UI"/>
        </w:rPr>
        <w:t>Play a small radio for around 4 hours.</w:t>
      </w:r>
    </w:p>
    <w:p w14:paraId="4528EE8D" w14:textId="77777777" w:rsidR="0064679B" w:rsidRPr="0064679B" w:rsidRDefault="0064679B" w:rsidP="006A7E1D">
      <w:pPr>
        <w:numPr>
          <w:ilvl w:val="0"/>
          <w:numId w:val="25"/>
        </w:numPr>
        <w:spacing w:after="120"/>
        <w:jc w:val="both"/>
        <w:rPr>
          <w:rFonts w:cs="Segoe UI"/>
        </w:rPr>
      </w:pPr>
      <w:r w:rsidRPr="0064679B">
        <w:rPr>
          <w:rFonts w:cs="Segoe UI"/>
        </w:rPr>
        <w:t>A basic solar home system (20W) costs US $220 and has a lifetime of around 5 years</w:t>
      </w:r>
      <w:r w:rsidRPr="0064679B">
        <w:rPr>
          <w:rFonts w:cs="Segoe UI"/>
          <w:vertAlign w:val="superscript"/>
        </w:rPr>
        <w:footnoteReference w:id="36"/>
      </w:r>
    </w:p>
    <w:p w14:paraId="4E54752F" w14:textId="77777777" w:rsidR="0064679B" w:rsidRPr="0064679B" w:rsidRDefault="0064679B" w:rsidP="006A7E1D">
      <w:pPr>
        <w:numPr>
          <w:ilvl w:val="0"/>
          <w:numId w:val="25"/>
        </w:numPr>
        <w:spacing w:after="120"/>
        <w:jc w:val="both"/>
        <w:rPr>
          <w:rFonts w:cs="Segoe UI"/>
        </w:rPr>
      </w:pPr>
      <w:r w:rsidRPr="0064679B">
        <w:rPr>
          <w:rFonts w:cs="Segoe UI"/>
        </w:rPr>
        <w:t>Insolation in Niger is around 6.1 kWh per square meter per day</w:t>
      </w:r>
      <w:r w:rsidRPr="0064679B">
        <w:rPr>
          <w:rFonts w:cs="Segoe UI"/>
          <w:vertAlign w:val="superscript"/>
        </w:rPr>
        <w:footnoteReference w:id="37"/>
      </w:r>
    </w:p>
    <w:p w14:paraId="19205D60" w14:textId="77777777" w:rsidR="0064679B" w:rsidRPr="0064679B" w:rsidRDefault="0064679B" w:rsidP="006A7E1D">
      <w:pPr>
        <w:numPr>
          <w:ilvl w:val="0"/>
          <w:numId w:val="25"/>
        </w:numPr>
        <w:spacing w:after="120"/>
        <w:jc w:val="both"/>
        <w:rPr>
          <w:rFonts w:cs="Segoe UI"/>
        </w:rPr>
      </w:pPr>
      <w:r w:rsidRPr="0064679B">
        <w:rPr>
          <w:rFonts w:cs="Segoe UI"/>
        </w:rPr>
        <w:t>Small diesel generators are available for around US $85, and consume around 0.35 liters of diesel per kWh of useful energy; the cost of one liter of diesel is assumed to be US $0.95</w:t>
      </w:r>
    </w:p>
    <w:p w14:paraId="09AAE26D" w14:textId="77777777" w:rsidR="0064679B" w:rsidRPr="0064679B" w:rsidRDefault="0064679B" w:rsidP="006A7E1D">
      <w:pPr>
        <w:numPr>
          <w:ilvl w:val="0"/>
          <w:numId w:val="25"/>
        </w:numPr>
        <w:spacing w:after="120"/>
        <w:jc w:val="both"/>
        <w:rPr>
          <w:rFonts w:cs="Segoe UI"/>
        </w:rPr>
      </w:pPr>
      <w:r w:rsidRPr="0064679B">
        <w:rPr>
          <w:rFonts w:cs="Segoe UI"/>
        </w:rPr>
        <w:t>Generator lifetime of 2 years</w:t>
      </w:r>
    </w:p>
    <w:p w14:paraId="7BBD2C10" w14:textId="58DB20F0" w:rsidR="0064679B" w:rsidRPr="0064679B" w:rsidRDefault="0064679B" w:rsidP="0064679B">
      <w:pPr>
        <w:jc w:val="both"/>
        <w:rPr>
          <w:rFonts w:cs="Segoe UI"/>
        </w:rPr>
      </w:pPr>
      <w:r w:rsidRPr="0064679B">
        <w:rPr>
          <w:rFonts w:cs="Segoe UI"/>
        </w:rPr>
        <w:lastRenderedPageBreak/>
        <w:t xml:space="preserve">The analysis shows that while the upfront investment for a solar system is much higher than for a diesel generator, these upfront costs are well invested in a durable system that has no ongoing running costs for usage. </w:t>
      </w:r>
      <w:r w:rsidRPr="0064679B">
        <w:rPr>
          <w:rFonts w:cs="Segoe UI"/>
        </w:rPr>
        <w:fldChar w:fldCharType="begin"/>
      </w:r>
      <w:r w:rsidRPr="0064679B">
        <w:rPr>
          <w:rFonts w:cs="Segoe UI"/>
        </w:rPr>
        <w:instrText xml:space="preserve"> REF _Ref476218431 \h </w:instrText>
      </w:r>
      <w:r w:rsidR="00C0472E">
        <w:rPr>
          <w:rFonts w:cs="Segoe UI"/>
        </w:rPr>
        <w:instrText xml:space="preserve"> \* MERGEFORMAT </w:instrText>
      </w:r>
      <w:r w:rsidRPr="0064679B">
        <w:rPr>
          <w:rFonts w:cs="Segoe UI"/>
        </w:rPr>
      </w:r>
      <w:r w:rsidRPr="0064679B">
        <w:rPr>
          <w:rFonts w:cs="Segoe UI"/>
        </w:rPr>
        <w:fldChar w:fldCharType="separate"/>
      </w:r>
      <w:r w:rsidR="000D1C35" w:rsidRPr="000D1C35">
        <w:rPr>
          <w:rFonts w:cs="Segoe UI"/>
        </w:rPr>
        <w:t>Figure 15</w:t>
      </w:r>
      <w:r w:rsidRPr="0064679B">
        <w:rPr>
          <w:rFonts w:cs="Segoe UI"/>
        </w:rPr>
        <w:fldChar w:fldCharType="end"/>
      </w:r>
      <w:r w:rsidRPr="0064679B">
        <w:rPr>
          <w:rFonts w:cs="Segoe UI"/>
        </w:rPr>
        <w:t xml:space="preserve"> shows that the annualized costs savings expected from using a basic solar home system compared to a generator are around US $11; over the lifetime of 5 years, this results in cost savings of US $55, or 20% as compared to the diesel generator. </w:t>
      </w:r>
    </w:p>
    <w:p w14:paraId="2350520F" w14:textId="2B4EB606" w:rsidR="0064679B" w:rsidRPr="0064679B" w:rsidRDefault="0064679B" w:rsidP="00547C6C">
      <w:pPr>
        <w:pStyle w:val="Caption"/>
      </w:pPr>
      <w:bookmarkStart w:id="73" w:name="_Ref476218431"/>
      <w:bookmarkStart w:id="74" w:name="_Toc476298058"/>
      <w:bookmarkStart w:id="75" w:name="_Toc500969352"/>
      <w:r w:rsidRPr="0064679B">
        <w:t xml:space="preserve">Figure </w:t>
      </w:r>
      <w:fldSimple w:instr=" SEQ Figure \* ARABIC ">
        <w:r w:rsidR="000D1C35">
          <w:rPr>
            <w:noProof/>
          </w:rPr>
          <w:t>15</w:t>
        </w:r>
      </w:fldSimple>
      <w:bookmarkEnd w:id="73"/>
      <w:r w:rsidRPr="0064679B">
        <w:t>: Cost comparison of a diesel generator with a basic solar home system</w:t>
      </w:r>
      <w:bookmarkEnd w:id="74"/>
      <w:bookmarkEnd w:id="75"/>
    </w:p>
    <w:p w14:paraId="5B68C0D2" w14:textId="77777777" w:rsidR="0064679B" w:rsidRPr="0064679B" w:rsidRDefault="0064679B" w:rsidP="0064679B">
      <w:pPr>
        <w:jc w:val="both"/>
        <w:rPr>
          <w:rFonts w:cs="Segoe UI"/>
        </w:rPr>
      </w:pPr>
      <w:r w:rsidRPr="0064679B">
        <w:rPr>
          <w:rFonts w:cs="Segoe UI"/>
          <w:noProof/>
        </w:rPr>
        <w:drawing>
          <wp:inline distT="0" distB="0" distL="0" distR="0" wp14:anchorId="610D63E2" wp14:editId="59BDCC63">
            <wp:extent cx="5586984" cy="298094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6984" cy="2980944"/>
                    </a:xfrm>
                    <a:prstGeom prst="rect">
                      <a:avLst/>
                    </a:prstGeom>
                    <a:noFill/>
                  </pic:spPr>
                </pic:pic>
              </a:graphicData>
            </a:graphic>
          </wp:inline>
        </w:drawing>
      </w:r>
    </w:p>
    <w:p w14:paraId="5CBA1B0B" w14:textId="69470494" w:rsidR="0064679B" w:rsidRPr="0064679B" w:rsidRDefault="00E20D7B" w:rsidP="0064679B">
      <w:pPr>
        <w:jc w:val="both"/>
        <w:rPr>
          <w:rFonts w:cs="Segoe UI"/>
        </w:rPr>
      </w:pPr>
      <w:r>
        <w:rPr>
          <w:rFonts w:cs="Segoe UI"/>
        </w:rPr>
        <w:t>Besides environmental, health, safety and noise considerations, d</w:t>
      </w:r>
      <w:r w:rsidR="0064679B" w:rsidRPr="0064679B">
        <w:rPr>
          <w:rFonts w:cs="Segoe UI"/>
        </w:rPr>
        <w:t xml:space="preserve">eciding whether to invest in a diesel generator or a solar home system is a trade-off between lower upfront costs with ongoing running costs against higher upfront costs and no running costs (ignoring component replacements which become required every ~ 5 years for larger PV installations). With increasing electricity consumption levels, diesel becomes very expensive – besides being subject to constant market price volatility – and solar systems are generally the cheaper alternative over their lifetimes.   </w:t>
      </w:r>
    </w:p>
    <w:p w14:paraId="6AAC5E45" w14:textId="77777777" w:rsidR="0064679B" w:rsidRPr="0064679B" w:rsidRDefault="0064679B" w:rsidP="001C46F8">
      <w:pPr>
        <w:pStyle w:val="H3NEWreportStyle"/>
        <w:numPr>
          <w:ilvl w:val="2"/>
          <w:numId w:val="41"/>
        </w:numPr>
        <w:spacing w:before="360"/>
      </w:pPr>
      <w:bookmarkStart w:id="76" w:name="_Toc476298021"/>
      <w:bookmarkStart w:id="77" w:name="_Toc501097033"/>
      <w:r w:rsidRPr="0064679B">
        <w:t>The market impact of current customs duties</w:t>
      </w:r>
      <w:bookmarkEnd w:id="76"/>
      <w:bookmarkEnd w:id="77"/>
    </w:p>
    <w:p w14:paraId="71A95EC5" w14:textId="26F880B1" w:rsidR="0064679B" w:rsidRPr="0064679B" w:rsidRDefault="0064679B" w:rsidP="0064679B">
      <w:pPr>
        <w:jc w:val="both"/>
        <w:rPr>
          <w:rFonts w:cs="Segoe UI"/>
        </w:rPr>
      </w:pPr>
      <w:r w:rsidRPr="00662104">
        <w:rPr>
          <w:rFonts w:cs="Segoe UI"/>
        </w:rPr>
        <w:t xml:space="preserve">Currently, solar imports to Niger are subject to </w:t>
      </w:r>
      <w:r w:rsidR="0091104A" w:rsidRPr="00662104">
        <w:rPr>
          <w:rFonts w:cs="Segoe UI"/>
        </w:rPr>
        <w:t>high</w:t>
      </w:r>
      <w:r w:rsidR="003B797C" w:rsidRPr="00662104">
        <w:rPr>
          <w:rFonts w:cs="Segoe UI"/>
        </w:rPr>
        <w:t xml:space="preserve"> tax and duty charges, which in aggregate often reach up to around 50% of the customs value of the product. While solar panels are exempted from customs duties, batteries, inverters, solar fridges and other solar accessories are charged with 20% customs duties. In addition, all products, including solar panels are subject to 19% VAT as well as diverse charges and taxes</w:t>
      </w:r>
      <w:r w:rsidR="003B797C" w:rsidRPr="00662104">
        <w:rPr>
          <w:rStyle w:val="FootnoteReference"/>
          <w:rFonts w:cs="Segoe UI"/>
        </w:rPr>
        <w:footnoteReference w:id="38"/>
      </w:r>
      <w:r w:rsidR="003B797C" w:rsidRPr="00662104">
        <w:rPr>
          <w:rFonts w:cs="Segoe UI"/>
        </w:rPr>
        <w:t xml:space="preserve">. </w:t>
      </w:r>
      <w:r w:rsidRPr="00662104">
        <w:rPr>
          <w:rFonts w:cs="Segoe UI"/>
        </w:rPr>
        <w:t>This additional cost to solar distributors is passed on to end consumers making market prices for solar systems in Niger considerably higher than the benchmark prices applied in our market sizing analysis</w:t>
      </w:r>
      <w:r w:rsidRPr="0064679B">
        <w:rPr>
          <w:rFonts w:cs="Segoe UI"/>
        </w:rPr>
        <w:t xml:space="preserve">. </w:t>
      </w:r>
      <w:r w:rsidR="00D53724">
        <w:rPr>
          <w:rFonts w:cs="Segoe UI"/>
        </w:rPr>
        <w:t xml:space="preserve"> </w:t>
      </w:r>
    </w:p>
    <w:p w14:paraId="09A5A661" w14:textId="1FE32804" w:rsidR="0064679B" w:rsidRPr="0064679B" w:rsidRDefault="0064679B" w:rsidP="0064679B">
      <w:pPr>
        <w:jc w:val="both"/>
        <w:rPr>
          <w:rFonts w:cs="Segoe UI"/>
        </w:rPr>
      </w:pPr>
      <w:r w:rsidRPr="0064679B">
        <w:rPr>
          <w:rFonts w:cs="Segoe UI"/>
        </w:rPr>
        <w:lastRenderedPageBreak/>
        <w:t xml:space="preserve">As shown in </w:t>
      </w:r>
      <w:r w:rsidRPr="0064679B">
        <w:rPr>
          <w:rFonts w:cs="Segoe UI"/>
        </w:rPr>
        <w:fldChar w:fldCharType="begin"/>
      </w:r>
      <w:r w:rsidRPr="0064679B">
        <w:rPr>
          <w:rFonts w:cs="Segoe UI"/>
        </w:rPr>
        <w:instrText xml:space="preserve"> REF _Ref476220087 \h </w:instrText>
      </w:r>
      <w:r w:rsidR="00C0472E">
        <w:rPr>
          <w:rFonts w:cs="Segoe UI"/>
        </w:rPr>
        <w:instrText xml:space="preserve"> \* MERGEFORMAT </w:instrText>
      </w:r>
      <w:r w:rsidRPr="0064679B">
        <w:rPr>
          <w:rFonts w:cs="Segoe UI"/>
        </w:rPr>
      </w:r>
      <w:r w:rsidRPr="0064679B">
        <w:rPr>
          <w:rFonts w:cs="Segoe UI"/>
        </w:rPr>
        <w:fldChar w:fldCharType="separate"/>
      </w:r>
      <w:r w:rsidR="000D1C35" w:rsidRPr="000D1C35">
        <w:rPr>
          <w:rFonts w:cs="Segoe UI"/>
        </w:rPr>
        <w:t>Table 5</w:t>
      </w:r>
      <w:r w:rsidRPr="0064679B">
        <w:rPr>
          <w:rFonts w:cs="Segoe UI"/>
        </w:rPr>
        <w:fldChar w:fldCharType="end"/>
      </w:r>
      <w:r w:rsidRPr="0064679B">
        <w:rPr>
          <w:rFonts w:cs="Segoe UI"/>
        </w:rPr>
        <w:t xml:space="preserve">, the customs duties have a significant impact on the annual sales volume potential in our analysis. Even in the presence of consumer finance, we estimate that the customs duties reduce the size of the market by </w:t>
      </w:r>
      <w:r w:rsidR="00440791">
        <w:rPr>
          <w:rFonts w:cs="Segoe UI"/>
        </w:rPr>
        <w:t xml:space="preserve">around </w:t>
      </w:r>
      <w:r w:rsidRPr="0064679B">
        <w:rPr>
          <w:rFonts w:cs="Segoe UI"/>
        </w:rPr>
        <w:t>27%. This decrease comes mainly at the expense of the poorest end of the market – a significant number of households are locked out of the market as they sim</w:t>
      </w:r>
      <w:r w:rsidR="00031CA4">
        <w:rPr>
          <w:rFonts w:cs="Segoe UI"/>
        </w:rPr>
        <w:t xml:space="preserve">ply cannot </w:t>
      </w:r>
      <w:r w:rsidR="00031CA4" w:rsidRPr="00886BA4">
        <w:rPr>
          <w:rFonts w:cs="Segoe UI"/>
        </w:rPr>
        <w:t>afford to pay US $7.5</w:t>
      </w:r>
      <w:r w:rsidRPr="00886BA4">
        <w:rPr>
          <w:rFonts w:cs="Segoe UI"/>
        </w:rPr>
        <w:t>0 for the simple</w:t>
      </w:r>
      <w:r w:rsidRPr="0064679B">
        <w:rPr>
          <w:rFonts w:cs="Segoe UI"/>
        </w:rPr>
        <w:t xml:space="preserve"> solar lantern, even with consumer financing options available. At the top end of the market, the duties significantly reduce sales volume potential across all solar home systems, while households that could afford these devices in the absence of import duties are pushed down into the market for light and mobile chargers.</w:t>
      </w:r>
    </w:p>
    <w:p w14:paraId="32EC7FA0" w14:textId="1866A0F0" w:rsidR="0064679B" w:rsidRPr="0064679B" w:rsidRDefault="0064679B" w:rsidP="0064679B">
      <w:pPr>
        <w:jc w:val="both"/>
        <w:rPr>
          <w:rFonts w:cs="Segoe UI"/>
        </w:rPr>
      </w:pPr>
      <w:r w:rsidRPr="0064679B">
        <w:rPr>
          <w:rFonts w:cs="Segoe UI"/>
        </w:rPr>
        <w:t xml:space="preserve">Interestingly, this reshuffling of </w:t>
      </w:r>
      <w:r w:rsidRPr="00886BA4">
        <w:rPr>
          <w:rFonts w:cs="Segoe UI"/>
        </w:rPr>
        <w:t xml:space="preserve">the market sales volume across the products has no material impact on the annualized market size, which </w:t>
      </w:r>
      <w:r w:rsidR="00031CA4" w:rsidRPr="00886BA4">
        <w:rPr>
          <w:rFonts w:cs="Segoe UI"/>
        </w:rPr>
        <w:t>decreases marginally to around US $56</w:t>
      </w:r>
      <w:r w:rsidRPr="00886BA4">
        <w:rPr>
          <w:rFonts w:cs="Segoe UI"/>
        </w:rPr>
        <w:t xml:space="preserve"> million. This is mainly due to consumers shifting from products that need replacing every 5 years to products that need replacing every 2 years, so that the number of transactions more</w:t>
      </w:r>
      <w:r w:rsidRPr="0064679B">
        <w:rPr>
          <w:rFonts w:cs="Segoe UI"/>
        </w:rPr>
        <w:t xml:space="preserve"> than doubles. Note that this also means, however, that the average level of energy access is considerably lower under this scenario, as people can no longer afford more sophisticated home systems. The analysis for the market without consumer financing leads to similar results, and the market remains at around US $12 million with or without import duties. </w:t>
      </w:r>
    </w:p>
    <w:p w14:paraId="35E8F34B" w14:textId="1B315BE0" w:rsidR="0064679B" w:rsidRPr="0064679B" w:rsidRDefault="007340FE" w:rsidP="0099462C">
      <w:pPr>
        <w:pStyle w:val="Caption"/>
      </w:pPr>
      <w:bookmarkStart w:id="78" w:name="_Ref476220087"/>
      <w:bookmarkStart w:id="79" w:name="_Toc476298059"/>
      <w:bookmarkStart w:id="80" w:name="_Toc500969369"/>
      <w:r>
        <w:t>Table</w:t>
      </w:r>
      <w:r w:rsidR="0064679B" w:rsidRPr="0064679B">
        <w:t xml:space="preserve"> </w:t>
      </w:r>
      <w:r w:rsidR="00DC543C">
        <w:fldChar w:fldCharType="begin"/>
      </w:r>
      <w:r>
        <w:instrText xml:space="preserve"> SEQ Table</w:instrText>
      </w:r>
      <w:r w:rsidR="00DC543C">
        <w:instrText xml:space="preserve"> \* ARABIC </w:instrText>
      </w:r>
      <w:r w:rsidR="00DC543C">
        <w:fldChar w:fldCharType="separate"/>
      </w:r>
      <w:r w:rsidR="000D1C35">
        <w:rPr>
          <w:noProof/>
        </w:rPr>
        <w:t>5</w:t>
      </w:r>
      <w:r w:rsidR="00DC543C">
        <w:rPr>
          <w:noProof/>
        </w:rPr>
        <w:fldChar w:fldCharType="end"/>
      </w:r>
      <w:bookmarkEnd w:id="78"/>
      <w:r w:rsidR="0064679B" w:rsidRPr="0064679B">
        <w:t>: Comparison of mar</w:t>
      </w:r>
      <w:r w:rsidR="00571075">
        <w:t>ket size with and without 50</w:t>
      </w:r>
      <w:r w:rsidR="0064679B" w:rsidRPr="0064679B">
        <w:t>% customs duties</w:t>
      </w:r>
      <w:bookmarkEnd w:id="79"/>
      <w:bookmarkEnd w:id="80"/>
    </w:p>
    <w:p w14:paraId="44CA59BD" w14:textId="399F3DEA" w:rsidR="0064679B" w:rsidRPr="0064679B" w:rsidRDefault="00571075" w:rsidP="0064679B">
      <w:pPr>
        <w:jc w:val="both"/>
        <w:rPr>
          <w:rFonts w:cs="Segoe UI"/>
        </w:rPr>
      </w:pPr>
      <w:r w:rsidRPr="00571075">
        <w:rPr>
          <w:noProof/>
        </w:rPr>
        <w:drawing>
          <wp:inline distT="0" distB="0" distL="0" distR="0" wp14:anchorId="4AC702E2" wp14:editId="0AB8030B">
            <wp:extent cx="5998464" cy="1655064"/>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8464" cy="1655064"/>
                    </a:xfrm>
                    <a:prstGeom prst="rect">
                      <a:avLst/>
                    </a:prstGeom>
                    <a:noFill/>
                    <a:ln>
                      <a:noFill/>
                    </a:ln>
                  </pic:spPr>
                </pic:pic>
              </a:graphicData>
            </a:graphic>
          </wp:inline>
        </w:drawing>
      </w:r>
    </w:p>
    <w:p w14:paraId="21E18B2B" w14:textId="23623D50" w:rsidR="0064679B" w:rsidRPr="0064679B" w:rsidRDefault="0064679B" w:rsidP="0064679B">
      <w:pPr>
        <w:jc w:val="both"/>
        <w:rPr>
          <w:rFonts w:cs="Segoe UI"/>
        </w:rPr>
      </w:pPr>
      <w:r w:rsidRPr="0064679B">
        <w:rPr>
          <w:rFonts w:cs="Segoe UI"/>
        </w:rPr>
        <w:t xml:space="preserve">It is important to note, however, that as explained above this analysis is based purely on the purchasing power of different income levels in Niger, and therefore neglects the important aspect that </w:t>
      </w:r>
      <w:r w:rsidR="008C05EC">
        <w:rPr>
          <w:rFonts w:cs="Segoe UI"/>
        </w:rPr>
        <w:t xml:space="preserve">the </w:t>
      </w:r>
      <w:r w:rsidR="009A7BD7">
        <w:rPr>
          <w:rFonts w:cs="Segoe UI"/>
        </w:rPr>
        <w:t xml:space="preserve">quality-verified </w:t>
      </w:r>
      <w:r w:rsidRPr="0064679B">
        <w:rPr>
          <w:rFonts w:cs="Segoe UI"/>
        </w:rPr>
        <w:t>solar products consider</w:t>
      </w:r>
      <w:r w:rsidR="008C05EC">
        <w:rPr>
          <w:rFonts w:cs="Segoe UI"/>
        </w:rPr>
        <w:t>ed</w:t>
      </w:r>
      <w:r w:rsidRPr="0064679B">
        <w:rPr>
          <w:rFonts w:cs="Segoe UI"/>
        </w:rPr>
        <w:t xml:space="preserve"> here lose competitiveness in the market against cheap, informal imports and other lighting alternatives such as LED flashlights and diesel generators. </w:t>
      </w:r>
    </w:p>
    <w:p w14:paraId="64A4AC7D" w14:textId="2869C4DE" w:rsidR="0064679B" w:rsidRPr="0064679B" w:rsidRDefault="0064679B" w:rsidP="0064679B">
      <w:pPr>
        <w:jc w:val="both"/>
        <w:rPr>
          <w:rFonts w:cs="Segoe UI"/>
        </w:rPr>
      </w:pPr>
      <w:r w:rsidRPr="0064679B">
        <w:rPr>
          <w:rFonts w:cs="Segoe UI"/>
        </w:rPr>
        <w:t xml:space="preserve">As mentioned, the customs duties also have a significant negative impact on energy access levels. As shown in </w:t>
      </w:r>
      <w:r w:rsidRPr="0064679B">
        <w:rPr>
          <w:rFonts w:cs="Segoe UI"/>
        </w:rPr>
        <w:fldChar w:fldCharType="begin"/>
      </w:r>
      <w:r w:rsidRPr="0064679B">
        <w:rPr>
          <w:rFonts w:cs="Segoe UI"/>
        </w:rPr>
        <w:instrText xml:space="preserve"> REF _Ref476221090 \h </w:instrText>
      </w:r>
      <w:r w:rsidR="00C0472E">
        <w:rPr>
          <w:rFonts w:cs="Segoe UI"/>
        </w:rPr>
        <w:instrText xml:space="preserve"> \* MERGEFORMAT </w:instrText>
      </w:r>
      <w:r w:rsidRPr="0064679B">
        <w:rPr>
          <w:rFonts w:cs="Segoe UI"/>
        </w:rPr>
      </w:r>
      <w:r w:rsidRPr="0064679B">
        <w:rPr>
          <w:rFonts w:cs="Segoe UI"/>
        </w:rPr>
        <w:fldChar w:fldCharType="separate"/>
      </w:r>
      <w:r w:rsidR="000D1C35" w:rsidRPr="000D1C35">
        <w:rPr>
          <w:rFonts w:cs="Segoe UI"/>
        </w:rPr>
        <w:t>Table 6</w:t>
      </w:r>
      <w:r w:rsidRPr="0064679B">
        <w:rPr>
          <w:rFonts w:cs="Segoe UI"/>
        </w:rPr>
        <w:fldChar w:fldCharType="end"/>
      </w:r>
      <w:r w:rsidRPr="0064679B">
        <w:rPr>
          <w:rFonts w:cs="Segoe UI"/>
        </w:rPr>
        <w:t xml:space="preserve">, the decreasing sales volume potential combined with the shift towards smaller devices results in a 40% decrease in power generating capacity supplied to the market per year. </w:t>
      </w:r>
    </w:p>
    <w:p w14:paraId="1C7A1646" w14:textId="505D1D3F" w:rsidR="0064679B" w:rsidRPr="0064679B" w:rsidRDefault="007340FE" w:rsidP="0099462C">
      <w:pPr>
        <w:pStyle w:val="Caption"/>
      </w:pPr>
      <w:bookmarkStart w:id="81" w:name="_Ref476221090"/>
      <w:bookmarkStart w:id="82" w:name="_Toc476298060"/>
      <w:bookmarkStart w:id="83" w:name="_Toc500969370"/>
      <w:r>
        <w:lastRenderedPageBreak/>
        <w:t>Table</w:t>
      </w:r>
      <w:r w:rsidR="0064679B" w:rsidRPr="0064679B">
        <w:t xml:space="preserve"> </w:t>
      </w:r>
      <w:r w:rsidR="00DC543C">
        <w:fldChar w:fldCharType="begin"/>
      </w:r>
      <w:r>
        <w:instrText xml:space="preserve"> SEQ Table</w:instrText>
      </w:r>
      <w:r w:rsidR="00DC543C">
        <w:instrText xml:space="preserve"> \* ARABIC </w:instrText>
      </w:r>
      <w:r w:rsidR="00DC543C">
        <w:fldChar w:fldCharType="separate"/>
      </w:r>
      <w:r w:rsidR="000D1C35">
        <w:rPr>
          <w:noProof/>
        </w:rPr>
        <w:t>6</w:t>
      </w:r>
      <w:r w:rsidR="00DC543C">
        <w:rPr>
          <w:noProof/>
        </w:rPr>
        <w:fldChar w:fldCharType="end"/>
      </w:r>
      <w:bookmarkEnd w:id="81"/>
      <w:r w:rsidR="0064679B" w:rsidRPr="0064679B">
        <w:t>: Comparison of energ</w:t>
      </w:r>
      <w:r w:rsidR="002321BC">
        <w:t>y access with and without 50</w:t>
      </w:r>
      <w:r w:rsidR="0064679B" w:rsidRPr="0064679B">
        <w:t>% customs duties</w:t>
      </w:r>
      <w:bookmarkEnd w:id="82"/>
      <w:bookmarkEnd w:id="83"/>
    </w:p>
    <w:p w14:paraId="12B52D43" w14:textId="3611B468" w:rsidR="0064679B" w:rsidRPr="0064679B" w:rsidRDefault="002321BC" w:rsidP="0064679B">
      <w:pPr>
        <w:jc w:val="both"/>
        <w:rPr>
          <w:rFonts w:cs="Segoe UI"/>
        </w:rPr>
      </w:pPr>
      <w:r w:rsidRPr="002321BC">
        <w:rPr>
          <w:noProof/>
        </w:rPr>
        <w:drawing>
          <wp:inline distT="0" distB="0" distL="0" distR="0" wp14:anchorId="5EC23376" wp14:editId="3AB4918F">
            <wp:extent cx="4462272" cy="1517904"/>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2272" cy="1517904"/>
                    </a:xfrm>
                    <a:prstGeom prst="rect">
                      <a:avLst/>
                    </a:prstGeom>
                    <a:noFill/>
                    <a:ln>
                      <a:noFill/>
                    </a:ln>
                  </pic:spPr>
                </pic:pic>
              </a:graphicData>
            </a:graphic>
          </wp:inline>
        </w:drawing>
      </w:r>
    </w:p>
    <w:p w14:paraId="7E7FADB9" w14:textId="0706785A" w:rsidR="00CD1F21" w:rsidRPr="00DB53C9" w:rsidRDefault="00286B71" w:rsidP="00DB53C9">
      <w:pPr>
        <w:pStyle w:val="H2NEWreportStyle"/>
      </w:pPr>
      <w:bookmarkStart w:id="84" w:name="_Toc501097034"/>
      <w:r w:rsidRPr="00DB53C9">
        <w:t>Public institutions (</w:t>
      </w:r>
      <w:r w:rsidR="00596F92" w:rsidRPr="00DB53C9">
        <w:t>education, health &amp; governance</w:t>
      </w:r>
      <w:r w:rsidRPr="00DB53C9">
        <w:t>)</w:t>
      </w:r>
      <w:bookmarkEnd w:id="84"/>
    </w:p>
    <w:p w14:paraId="7776E937" w14:textId="2E690439" w:rsidR="0065299E" w:rsidRDefault="0065299E" w:rsidP="0065299E">
      <w:pPr>
        <w:jc w:val="both"/>
        <w:rPr>
          <w:rFonts w:cs="Segoe UI"/>
        </w:rPr>
      </w:pPr>
      <w:r>
        <w:rPr>
          <w:rFonts w:cs="Segoe UI"/>
        </w:rPr>
        <w:t xml:space="preserve">Public institutions present a strong opportunity for solar technology, either as direct customers themselves or as the beneficiaries of broader government electrification programs. In this section, we estimate the potential demand for solar for three types of institutions: schools, health facilities, and public buildings. Though the overall annualized market for </w:t>
      </w:r>
      <w:r w:rsidR="00441112">
        <w:rPr>
          <w:rFonts w:cs="Segoe UI"/>
        </w:rPr>
        <w:t>institutions at around US $2.4</w:t>
      </w:r>
      <w:r w:rsidRPr="000C0456">
        <w:rPr>
          <w:rFonts w:cs="Segoe UI"/>
        </w:rPr>
        <w:t xml:space="preserve"> million is small compared to private households, our modelling shows </w:t>
      </w:r>
      <w:r w:rsidR="009A7BD7">
        <w:rPr>
          <w:rFonts w:cs="Segoe UI"/>
        </w:rPr>
        <w:t xml:space="preserve">a </w:t>
      </w:r>
      <w:r w:rsidRPr="000C0456">
        <w:rPr>
          <w:rFonts w:cs="Segoe UI"/>
        </w:rPr>
        <w:t>strong business case for switching to solar both from traditional lighting methods and from diesel generators.</w:t>
      </w:r>
      <w:r>
        <w:rPr>
          <w:rFonts w:cs="Segoe UI"/>
        </w:rPr>
        <w:t xml:space="preserve"> </w:t>
      </w:r>
    </w:p>
    <w:p w14:paraId="3BD56F4F" w14:textId="20DCBD81" w:rsidR="004E7F5F" w:rsidRPr="00112783" w:rsidRDefault="004E7F5F" w:rsidP="0065299E">
      <w:pPr>
        <w:jc w:val="both"/>
        <w:rPr>
          <w:rFonts w:cs="Segoe UI"/>
        </w:rPr>
      </w:pPr>
      <w:r>
        <w:rPr>
          <w:rFonts w:cs="Segoe UI"/>
        </w:rPr>
        <w:t>The methodology applied for the market sizing is presented in Appendix B.</w:t>
      </w:r>
      <w:r w:rsidR="00A216F8">
        <w:rPr>
          <w:rFonts w:cs="Segoe UI"/>
        </w:rPr>
        <w:t>2.</w:t>
      </w:r>
    </w:p>
    <w:p w14:paraId="266930EB" w14:textId="77777777" w:rsidR="0065299E" w:rsidRPr="00955049" w:rsidRDefault="0065299E" w:rsidP="001C46F8">
      <w:pPr>
        <w:pStyle w:val="H3NEWreportStyle"/>
        <w:numPr>
          <w:ilvl w:val="2"/>
          <w:numId w:val="42"/>
        </w:numPr>
        <w:spacing w:before="360"/>
      </w:pPr>
      <w:bookmarkStart w:id="85" w:name="_Toc469249363"/>
      <w:bookmarkStart w:id="86" w:name="_Toc469338592"/>
      <w:bookmarkStart w:id="87" w:name="_Toc469338654"/>
      <w:bookmarkStart w:id="88" w:name="_Toc469338774"/>
      <w:bookmarkStart w:id="89" w:name="_Toc475366473"/>
      <w:bookmarkStart w:id="90" w:name="_Toc476039598"/>
      <w:bookmarkStart w:id="91" w:name="_Toc501097035"/>
      <w:bookmarkEnd w:id="85"/>
      <w:bookmarkEnd w:id="86"/>
      <w:bookmarkEnd w:id="87"/>
      <w:bookmarkEnd w:id="88"/>
      <w:bookmarkEnd w:id="89"/>
      <w:bookmarkEnd w:id="90"/>
      <w:r w:rsidRPr="00955049">
        <w:t>Educational institutions</w:t>
      </w:r>
      <w:bookmarkEnd w:id="91"/>
    </w:p>
    <w:p w14:paraId="14A661D6" w14:textId="1EA42D77" w:rsidR="00993D59" w:rsidRPr="00993D59" w:rsidRDefault="0065299E" w:rsidP="00993D59">
      <w:pPr>
        <w:jc w:val="both"/>
        <w:rPr>
          <w:rFonts w:cs="Segoe UI"/>
        </w:rPr>
      </w:pPr>
      <w:r w:rsidRPr="00993D59">
        <w:rPr>
          <w:rFonts w:cs="Segoe UI"/>
        </w:rPr>
        <w:t xml:space="preserve">To estimate potential solar demand for schools, we separately consider nurseries, primary schools, secondary schools, and tertiary institutions (universities). </w:t>
      </w:r>
      <w:r w:rsidR="00993D59" w:rsidRPr="00993D59">
        <w:rPr>
          <w:rFonts w:cs="Segoe UI"/>
        </w:rPr>
        <w:t>For each type of educational institution, we assume a number of appliances in the commo</w:t>
      </w:r>
      <w:r w:rsidR="00993D59">
        <w:rPr>
          <w:rFonts w:cs="Segoe UI"/>
        </w:rPr>
        <w:t>n areas, and in each class room (</w:t>
      </w:r>
      <w:r w:rsidR="00252F3E">
        <w:rPr>
          <w:rFonts w:cs="Segoe UI"/>
        </w:rPr>
        <w:t xml:space="preserve">see </w:t>
      </w:r>
      <w:r w:rsidR="00A216F8">
        <w:rPr>
          <w:rFonts w:cs="Segoe UI"/>
        </w:rPr>
        <w:t>Appendix B.2</w:t>
      </w:r>
      <w:r w:rsidR="00993D59">
        <w:rPr>
          <w:rFonts w:cs="Segoe UI"/>
        </w:rPr>
        <w:t>.1).</w:t>
      </w:r>
    </w:p>
    <w:p w14:paraId="39EBF953" w14:textId="64FCA8AA" w:rsidR="0065299E" w:rsidRDefault="0065299E" w:rsidP="0065299E">
      <w:pPr>
        <w:pStyle w:val="H4NEWreportStyle"/>
      </w:pPr>
      <w:r>
        <w:t>Business case</w:t>
      </w:r>
    </w:p>
    <w:p w14:paraId="2CC8B8C6" w14:textId="62ED2643" w:rsidR="0065299E" w:rsidRDefault="0000473A" w:rsidP="0065299E">
      <w:pPr>
        <w:jc w:val="both"/>
      </w:pPr>
      <w:fldSimple w:instr=" REF _Ref469180400  \* MERGEFORMAT ">
        <w:r w:rsidR="000D1C35">
          <w:t xml:space="preserve">Table </w:t>
        </w:r>
        <w:r w:rsidR="000D1C35">
          <w:rPr>
            <w:noProof/>
          </w:rPr>
          <w:t>7</w:t>
        </w:r>
      </w:fldSimple>
      <w:r w:rsidR="0065299E">
        <w:t xml:space="preserve"> provides an overview of the average annualized costs of different energy and lighting sources by school type, and the annualized cost savings (i.e. the “business case”). The business cases shown are:</w:t>
      </w:r>
    </w:p>
    <w:p w14:paraId="2B6552AE" w14:textId="77777777" w:rsidR="0065299E" w:rsidRDefault="0065299E" w:rsidP="006A7E1D">
      <w:pPr>
        <w:pStyle w:val="ListParagraph"/>
        <w:numPr>
          <w:ilvl w:val="0"/>
          <w:numId w:val="26"/>
        </w:numPr>
        <w:jc w:val="both"/>
      </w:pPr>
      <w:r w:rsidRPr="00C23CF8">
        <w:rPr>
          <w:b/>
        </w:rPr>
        <w:t>vs. Grid (100%).</w:t>
      </w:r>
      <w:r>
        <w:t xml:space="preserve"> Having a self-sufficient solar system and disconnecting from the grid.</w:t>
      </w:r>
    </w:p>
    <w:p w14:paraId="6921B360" w14:textId="77777777" w:rsidR="0065299E" w:rsidRDefault="0065299E" w:rsidP="006A7E1D">
      <w:pPr>
        <w:pStyle w:val="ListParagraph"/>
        <w:numPr>
          <w:ilvl w:val="0"/>
          <w:numId w:val="26"/>
        </w:numPr>
        <w:jc w:val="both"/>
      </w:pPr>
      <w:r>
        <w:rPr>
          <w:b/>
        </w:rPr>
        <w:t>v</w:t>
      </w:r>
      <w:r w:rsidRPr="00C23CF8">
        <w:rPr>
          <w:b/>
        </w:rPr>
        <w:t>s. Diesel generator.</w:t>
      </w:r>
      <w:r>
        <w:t xml:space="preserve"> Using a solar system rather than a diesel generator as power source.</w:t>
      </w:r>
    </w:p>
    <w:p w14:paraId="4CEB65BB" w14:textId="77777777" w:rsidR="0065299E" w:rsidRDefault="0065299E" w:rsidP="006A7E1D">
      <w:pPr>
        <w:pStyle w:val="ListParagraph"/>
        <w:numPr>
          <w:ilvl w:val="0"/>
          <w:numId w:val="26"/>
        </w:numPr>
        <w:jc w:val="both"/>
      </w:pPr>
      <w:r>
        <w:rPr>
          <w:b/>
        </w:rPr>
        <w:t>v</w:t>
      </w:r>
      <w:r w:rsidRPr="00C23CF8">
        <w:rPr>
          <w:b/>
        </w:rPr>
        <w:t>s. Kerosene lamps &amp; gas appliances.</w:t>
      </w:r>
      <w:r>
        <w:t xml:space="preserve"> Using a solar system rather than using kerosene lamps for lighting and gas for larger appliances, e.g. a fridge. </w:t>
      </w:r>
    </w:p>
    <w:p w14:paraId="7DAA9A6F" w14:textId="77777777" w:rsidR="0065299E" w:rsidRDefault="0065299E" w:rsidP="006A7E1D">
      <w:pPr>
        <w:pStyle w:val="ListParagraph"/>
        <w:numPr>
          <w:ilvl w:val="0"/>
          <w:numId w:val="26"/>
        </w:numPr>
        <w:jc w:val="both"/>
      </w:pPr>
      <w:r>
        <w:rPr>
          <w:b/>
        </w:rPr>
        <w:t>a</w:t>
      </w:r>
      <w:r w:rsidRPr="00C23CF8">
        <w:rPr>
          <w:b/>
        </w:rPr>
        <w:t>s backup option.</w:t>
      </w:r>
      <w:r>
        <w:t xml:space="preserve"> As the grid in Niger is characterized by frequent, and often long power outages, larger public buildings are increasingly being equipped with grid backup options. We compare using a solar system against using a generator to meet backup needs of tertiary institutions. </w:t>
      </w:r>
    </w:p>
    <w:p w14:paraId="14F39CEC" w14:textId="68B9D80A" w:rsidR="0065299E" w:rsidRDefault="0065299E" w:rsidP="0065299E">
      <w:pPr>
        <w:pStyle w:val="Caption"/>
      </w:pPr>
      <w:bookmarkStart w:id="92" w:name="_Ref469180400"/>
      <w:bookmarkStart w:id="93" w:name="_Toc500969371"/>
      <w:r>
        <w:lastRenderedPageBreak/>
        <w:t xml:space="preserve">Table </w:t>
      </w:r>
      <w:fldSimple w:instr=" SEQ Table \* ARABIC ">
        <w:r w:rsidR="000D1C35">
          <w:rPr>
            <w:noProof/>
          </w:rPr>
          <w:t>7</w:t>
        </w:r>
      </w:fldSimple>
      <w:bookmarkEnd w:id="92"/>
      <w:r>
        <w:t>: Annualized cost savings from solar usage for different educational institutions</w:t>
      </w:r>
      <w:bookmarkEnd w:id="93"/>
    </w:p>
    <w:p w14:paraId="60D7C24E" w14:textId="77777777" w:rsidR="0065299E" w:rsidRDefault="0065299E" w:rsidP="0065299E">
      <w:r w:rsidRPr="008A2AF2">
        <w:rPr>
          <w:noProof/>
        </w:rPr>
        <w:drawing>
          <wp:inline distT="0" distB="0" distL="0" distR="0" wp14:anchorId="5EA4C96E" wp14:editId="72D057A6">
            <wp:extent cx="5934456" cy="2697329"/>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456" cy="2697329"/>
                    </a:xfrm>
                    <a:prstGeom prst="rect">
                      <a:avLst/>
                    </a:prstGeom>
                    <a:noFill/>
                    <a:ln>
                      <a:noFill/>
                    </a:ln>
                  </pic:spPr>
                </pic:pic>
              </a:graphicData>
            </a:graphic>
          </wp:inline>
        </w:drawing>
      </w:r>
    </w:p>
    <w:p w14:paraId="5046097F" w14:textId="77777777" w:rsidR="0065299E" w:rsidRDefault="0065299E" w:rsidP="0065299E">
      <w:pPr>
        <w:jc w:val="both"/>
      </w:pPr>
      <w:r>
        <w:t xml:space="preserve">Based on our assumptions, there is a positive theoretical business case for switching to solar for the majority of use cases considered; only grid electricity is sufficiently cheap that solar systems are outpriced across all institutions. All institutions using candles, kerosene and gas would realize considerable cost savings from switching, and all institutions except for nurseries would benefit from switching from diesel to solar generators. </w:t>
      </w:r>
    </w:p>
    <w:p w14:paraId="29E71AD7" w14:textId="77777777" w:rsidR="0065299E" w:rsidRDefault="0065299E" w:rsidP="0065299E">
      <w:pPr>
        <w:jc w:val="both"/>
      </w:pPr>
      <w:r>
        <w:t>There are two reasons why, in this analysis, solar is shown as not cost competitive compared to diesel generators for nurseries:</w:t>
      </w:r>
    </w:p>
    <w:p w14:paraId="21FD6B72" w14:textId="3FFD8925" w:rsidR="0065299E" w:rsidRDefault="0065299E" w:rsidP="006A7E1D">
      <w:pPr>
        <w:pStyle w:val="ListParagraph"/>
        <w:numPr>
          <w:ilvl w:val="1"/>
          <w:numId w:val="27"/>
        </w:numPr>
        <w:ind w:left="778"/>
        <w:jc w:val="both"/>
      </w:pPr>
      <w:r>
        <w:t>A</w:t>
      </w:r>
      <w:r w:rsidRPr="0026635C">
        <w:t>round 55% of nurseries have power needs below 200W and consequently fall into the relatively more expensive market for products</w:t>
      </w:r>
      <w:r w:rsidR="009A7BD7">
        <w:t xml:space="preserve"> meeting Lighting Global Quality Standards</w:t>
      </w:r>
      <w:r>
        <w:t xml:space="preserve">. The average cost per kW of around US $5,000 for a </w:t>
      </w:r>
      <w:r w:rsidR="009A7BD7">
        <w:t>quality-verified</w:t>
      </w:r>
      <w:r>
        <w:t xml:space="preserve"> solar home system is significantly higher than the average cost per kW for larger PV installations, which as a consequence limits the economic viability of serving small, off-grid institutions; and</w:t>
      </w:r>
    </w:p>
    <w:p w14:paraId="120FB6E1" w14:textId="77777777" w:rsidR="0065299E" w:rsidRDefault="0065299E" w:rsidP="006A7E1D">
      <w:pPr>
        <w:pStyle w:val="ListParagraph"/>
        <w:numPr>
          <w:ilvl w:val="1"/>
          <w:numId w:val="27"/>
        </w:numPr>
        <w:ind w:left="778"/>
        <w:jc w:val="both"/>
      </w:pPr>
      <w:r>
        <w:t>f</w:t>
      </w:r>
      <w:r w:rsidRPr="0026635C">
        <w:t>or many of the</w:t>
      </w:r>
      <w:r>
        <w:t xml:space="preserve"> remaining nurseries electricity consumption is not sufficiently high to offset the incremental investment required as compared to generators, which have relatively lower fixed costs and higher variable costs. </w:t>
      </w:r>
    </w:p>
    <w:p w14:paraId="7FE78DA2" w14:textId="0B1C07F9" w:rsidR="0065299E" w:rsidRDefault="0065299E" w:rsidP="0065299E">
      <w:pPr>
        <w:jc w:val="both"/>
      </w:pPr>
      <w:r>
        <w:t xml:space="preserve">The case for substituting a diesel back-up generator for a solar back-up generator is positive for tertiary institutions. Unsurprisingly, higher energy demand is associated with a stronger absolute business case for solar. This is shown graphically in the figure below, which shows the absolute annualized cost savings in percent of switching from stand-alone diesel generators to stand-alone solar generators for the different types of educational institutions. Cost savings for secondary schools are uniformly higher for a given level of average daily energy consumption on a </w:t>
      </w:r>
      <w:r w:rsidR="009A7BD7">
        <w:t xml:space="preserve">school </w:t>
      </w:r>
      <w:r>
        <w:t xml:space="preserve">day. This is driven by the assumption that secondary schools are equipped with a fridge that needs to run 365 days per year as compared to the remaining electronic devices being used only 200 days per year. </w:t>
      </w:r>
    </w:p>
    <w:p w14:paraId="71316D05" w14:textId="2566F132" w:rsidR="0065299E" w:rsidRDefault="0065299E" w:rsidP="0065299E">
      <w:pPr>
        <w:pStyle w:val="Caption"/>
      </w:pPr>
      <w:bookmarkStart w:id="94" w:name="_Ref469230764"/>
      <w:bookmarkStart w:id="95" w:name="_Toc500969353"/>
      <w:r>
        <w:lastRenderedPageBreak/>
        <w:t xml:space="preserve">Figure </w:t>
      </w:r>
      <w:fldSimple w:instr=" SEQ Figure \* ARABIC ">
        <w:r w:rsidR="000D1C35">
          <w:rPr>
            <w:noProof/>
          </w:rPr>
          <w:t>16</w:t>
        </w:r>
      </w:fldSimple>
      <w:bookmarkEnd w:id="94"/>
      <w:r>
        <w:t>: Scatterplot of annualized cost savings for schools in Niger</w:t>
      </w:r>
      <w:bookmarkEnd w:id="95"/>
    </w:p>
    <w:p w14:paraId="10304BAF" w14:textId="77777777" w:rsidR="0065299E" w:rsidRDefault="0065299E" w:rsidP="0065299E">
      <w:r>
        <w:rPr>
          <w:noProof/>
        </w:rPr>
        <w:drawing>
          <wp:inline distT="0" distB="0" distL="0" distR="0" wp14:anchorId="3DBF8194" wp14:editId="76DAD16C">
            <wp:extent cx="5687568" cy="3081528"/>
            <wp:effectExtent l="0" t="0" r="889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7568" cy="3081528"/>
                    </a:xfrm>
                    <a:prstGeom prst="rect">
                      <a:avLst/>
                    </a:prstGeom>
                    <a:noFill/>
                  </pic:spPr>
                </pic:pic>
              </a:graphicData>
            </a:graphic>
          </wp:inline>
        </w:drawing>
      </w:r>
    </w:p>
    <w:p w14:paraId="27D43D96" w14:textId="77777777" w:rsidR="0065299E" w:rsidRDefault="0065299E" w:rsidP="0065299E">
      <w:pPr>
        <w:pStyle w:val="H4NEWreportStyle"/>
      </w:pPr>
      <w:r>
        <w:t>Market size</w:t>
      </w:r>
    </w:p>
    <w:p w14:paraId="144B6223" w14:textId="77777777" w:rsidR="0065299E" w:rsidRDefault="0065299E" w:rsidP="0065299E">
      <w:pPr>
        <w:jc w:val="both"/>
      </w:pPr>
      <w:r>
        <w:t>Using the business cases developed above, we estimate the overall market size for solar in educational institutions in Niger. To do this, we assume that every institution for which there is a positive business case would opt to switch to solar if they had the necessary funding or financing, along with the following additional assumptions:</w:t>
      </w:r>
    </w:p>
    <w:p w14:paraId="2B00867F" w14:textId="7C59950E" w:rsidR="0065299E" w:rsidRDefault="0065299E" w:rsidP="006A7E1D">
      <w:pPr>
        <w:pStyle w:val="ListParagraph"/>
        <w:numPr>
          <w:ilvl w:val="0"/>
          <w:numId w:val="4"/>
        </w:numPr>
        <w:spacing w:before="120" w:after="120"/>
        <w:contextualSpacing w:val="0"/>
        <w:jc w:val="both"/>
      </w:pPr>
      <w:r>
        <w:t>The on-grid/off-grid split for institutions is the same as for households (since grid connection data is available for households but not explicitly for institutions); the exception are the tertiary universities which are all on-grid</w:t>
      </w:r>
      <w:r w:rsidR="00993D59">
        <w:t>.</w:t>
      </w:r>
    </w:p>
    <w:p w14:paraId="4E348F4D" w14:textId="77777777" w:rsidR="0065299E" w:rsidRDefault="0065299E" w:rsidP="006A7E1D">
      <w:pPr>
        <w:pStyle w:val="ListParagraph"/>
        <w:numPr>
          <w:ilvl w:val="0"/>
          <w:numId w:val="4"/>
        </w:numPr>
        <w:spacing w:before="120" w:after="120"/>
        <w:contextualSpacing w:val="0"/>
        <w:jc w:val="both"/>
      </w:pPr>
      <w:r>
        <w:t>Off-grid institutions currently use either diesel generators or traditional sources of lighting (candles, kerosene, etc.); specifically, we assume that generators are only prevalent among tertiary and secondary educational institutions.</w:t>
      </w:r>
    </w:p>
    <w:p w14:paraId="2FA9C357" w14:textId="59F9BD96" w:rsidR="0065299E" w:rsidRDefault="0065299E" w:rsidP="0065299E">
      <w:pPr>
        <w:jc w:val="both"/>
      </w:pPr>
      <w:r>
        <w:t xml:space="preserve">We calculate the market size based only on institutions for which there is a positive business case for switching to solar. Note that this does not yet take into consideration how institutions would fund any new equipment, or what amount and type of financing would need to be made available to achieve this. The annualized market size for solar in education institutions is thus estimated at around US $1.6 million (thereof around US $1.4 million for </w:t>
      </w:r>
      <w:r w:rsidR="000664FA">
        <w:t>quality-verified</w:t>
      </w:r>
      <w:r>
        <w:t xml:space="preserve"> products). </w:t>
      </w:r>
    </w:p>
    <w:p w14:paraId="1EB7A0AC" w14:textId="066A75A7" w:rsidR="0065299E" w:rsidRPr="00FC7434" w:rsidRDefault="0065299E" w:rsidP="0065299E">
      <w:pPr>
        <w:jc w:val="both"/>
      </w:pPr>
      <w:r>
        <w:t xml:space="preserve">Based on the data received from the Ministry of Education and INS, around 84% of the 16,500 educational institutions in Niger are primary schools, of which we estimate around 88% to be off-grid. As a result, primary schools represent nearly 80% of the solar market size. Together with nurseries, the primary schools are – due to their relatively limited electricity needs – also the key driver of the market opportunity </w:t>
      </w:r>
      <w:r>
        <w:lastRenderedPageBreak/>
        <w:t>for medium and large solar home systems</w:t>
      </w:r>
      <w:r w:rsidR="000664FA">
        <w:t xml:space="preserve"> meeting Lighting Global Quality Standards</w:t>
      </w:r>
      <w:r>
        <w:t xml:space="preserve">. </w:t>
      </w:r>
      <w:fldSimple w:instr=" REF _Ref469234705 ">
        <w:r w:rsidR="000D1C35">
          <w:t xml:space="preserve">Table </w:t>
        </w:r>
        <w:r w:rsidR="000D1C35">
          <w:rPr>
            <w:noProof/>
          </w:rPr>
          <w:t>8</w:t>
        </w:r>
      </w:fldSimple>
      <w:r>
        <w:t xml:space="preserve"> summarizes these results at the Region level. </w:t>
      </w:r>
    </w:p>
    <w:p w14:paraId="059BA594" w14:textId="0A9C4820" w:rsidR="0065299E" w:rsidRDefault="0065299E" w:rsidP="0065299E">
      <w:pPr>
        <w:pStyle w:val="Caption"/>
      </w:pPr>
      <w:bookmarkStart w:id="96" w:name="_Ref469234705"/>
      <w:bookmarkStart w:id="97" w:name="_Toc500969372"/>
      <w:r>
        <w:t xml:space="preserve">Table </w:t>
      </w:r>
      <w:fldSimple w:instr=" SEQ Table \* ARABIC ">
        <w:r w:rsidR="000D1C35">
          <w:rPr>
            <w:noProof/>
          </w:rPr>
          <w:t>8</w:t>
        </w:r>
      </w:fldSimple>
      <w:bookmarkEnd w:id="96"/>
      <w:r>
        <w:t>: Number of schools and solar market size by region</w:t>
      </w:r>
      <w:bookmarkEnd w:id="97"/>
    </w:p>
    <w:p w14:paraId="3F2BCFFE" w14:textId="5263739C" w:rsidR="0065299E" w:rsidRDefault="00474EA3" w:rsidP="0065299E">
      <w:r w:rsidRPr="00474EA3">
        <w:rPr>
          <w:noProof/>
        </w:rPr>
        <w:drawing>
          <wp:inline distT="0" distB="0" distL="0" distR="0" wp14:anchorId="388638DB" wp14:editId="3C6D6B66">
            <wp:extent cx="5943600" cy="323504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35049"/>
                    </a:xfrm>
                    <a:prstGeom prst="rect">
                      <a:avLst/>
                    </a:prstGeom>
                    <a:noFill/>
                    <a:ln>
                      <a:noFill/>
                    </a:ln>
                  </pic:spPr>
                </pic:pic>
              </a:graphicData>
            </a:graphic>
          </wp:inline>
        </w:drawing>
      </w:r>
    </w:p>
    <w:p w14:paraId="0ED72A14" w14:textId="694130A4" w:rsidR="0065299E" w:rsidRPr="00276C86" w:rsidRDefault="0065299E" w:rsidP="0065299E">
      <w:pPr>
        <w:spacing w:before="240" w:after="240"/>
        <w:jc w:val="both"/>
        <w:rPr>
          <w:rFonts w:cs="Segoe UI"/>
        </w:rPr>
      </w:pPr>
      <w:r>
        <w:rPr>
          <w:rFonts w:cs="Segoe UI"/>
        </w:rPr>
        <w:t xml:space="preserve">Of the total annual potential sales volume of around 2,700 </w:t>
      </w:r>
      <w:r w:rsidR="000664FA">
        <w:rPr>
          <w:rFonts w:cs="Segoe UI"/>
        </w:rPr>
        <w:t>quality-verified</w:t>
      </w:r>
      <w:r>
        <w:rPr>
          <w:rFonts w:cs="Segoe UI"/>
        </w:rPr>
        <w:t xml:space="preserve"> products, the medium solar home system sold at US $500 accounts for nearly 2,600 units. The PV installations for secondary schools have an average capacity of 1.3kW, ranging from 1.1kW to 3.0kW. As all tertiary institutions are on-grid, the small market here (average annual volumes below 1) is purely for grid backup options; on average</w:t>
      </w:r>
      <w:r w:rsidR="00306D79">
        <w:rPr>
          <w:rFonts w:cs="Segoe UI"/>
        </w:rPr>
        <w:t>,</w:t>
      </w:r>
      <w:r>
        <w:rPr>
          <w:rFonts w:cs="Segoe UI"/>
        </w:rPr>
        <w:t xml:space="preserve"> these backup options have a capacity of 2.8kW, ranging from 1kW to 10kW.</w:t>
      </w:r>
    </w:p>
    <w:p w14:paraId="6F75FCD5" w14:textId="77777777" w:rsidR="0065299E" w:rsidRPr="00955049" w:rsidRDefault="0065299E" w:rsidP="001C46F8">
      <w:pPr>
        <w:pStyle w:val="H3NEWreportStyle"/>
        <w:numPr>
          <w:ilvl w:val="2"/>
          <w:numId w:val="42"/>
        </w:numPr>
        <w:spacing w:before="360"/>
      </w:pPr>
      <w:bookmarkStart w:id="98" w:name="_Toc501097036"/>
      <w:r w:rsidRPr="00955049">
        <w:t>Health facilities</w:t>
      </w:r>
      <w:bookmarkEnd w:id="98"/>
    </w:p>
    <w:p w14:paraId="1C7160BB" w14:textId="77777777" w:rsidR="0065299E" w:rsidRDefault="0065299E" w:rsidP="0065299E">
      <w:pPr>
        <w:jc w:val="both"/>
      </w:pPr>
      <w:r>
        <w:t>Our analysis for health facilities closely mirrors that of schools above; we separately consider the following public health facilities:</w:t>
      </w:r>
    </w:p>
    <w:p w14:paraId="4498A865" w14:textId="77777777" w:rsidR="0065299E" w:rsidRDefault="0065299E" w:rsidP="006A7E1D">
      <w:pPr>
        <w:pStyle w:val="ListParagraph"/>
        <w:numPr>
          <w:ilvl w:val="0"/>
          <w:numId w:val="28"/>
        </w:numPr>
        <w:jc w:val="both"/>
      </w:pPr>
      <w:r w:rsidRPr="006C7EA4">
        <w:rPr>
          <w:b/>
        </w:rPr>
        <w:t>Cases de Sant</w:t>
      </w:r>
      <w:r w:rsidRPr="006C7EA4">
        <w:rPr>
          <w:rFonts w:cs="Segoe UI"/>
          <w:b/>
        </w:rPr>
        <w:t>é</w:t>
      </w:r>
      <w:r w:rsidRPr="006C7EA4">
        <w:rPr>
          <w:b/>
        </w:rPr>
        <w:t>.</w:t>
      </w:r>
      <w:r w:rsidRPr="006C7EA4">
        <w:t xml:space="preserve"> Small health k</w:t>
      </w:r>
      <w:r>
        <w:t xml:space="preserve">iosks managed by registered nurses; provision of most basic outpatient health services e.g. for simple colds and flu. </w:t>
      </w:r>
    </w:p>
    <w:p w14:paraId="2F8108F4" w14:textId="77777777" w:rsidR="0065299E" w:rsidRDefault="0065299E" w:rsidP="006A7E1D">
      <w:pPr>
        <w:pStyle w:val="ListParagraph"/>
        <w:numPr>
          <w:ilvl w:val="0"/>
          <w:numId w:val="28"/>
        </w:numPr>
        <w:jc w:val="both"/>
      </w:pPr>
      <w:r w:rsidRPr="00A256F6">
        <w:rPr>
          <w:b/>
        </w:rPr>
        <w:t xml:space="preserve">Centres de Santé 1 (“CSI 1”). </w:t>
      </w:r>
      <w:r w:rsidRPr="00A256F6">
        <w:t>Small health centers</w:t>
      </w:r>
      <w:r>
        <w:t>, typically</w:t>
      </w:r>
      <w:r w:rsidRPr="00A256F6">
        <w:t xml:space="preserve"> with a waiting room an</w:t>
      </w:r>
      <w:r>
        <w:t>d treatment room, managed by a doctor or clinical officer, often with nurse support; provision of a broad range of outpatient preventative and curative health services.</w:t>
      </w:r>
    </w:p>
    <w:p w14:paraId="04413F74" w14:textId="795E1DDA" w:rsidR="0065299E" w:rsidRDefault="0065299E" w:rsidP="006A7E1D">
      <w:pPr>
        <w:pStyle w:val="ListParagraph"/>
        <w:numPr>
          <w:ilvl w:val="0"/>
          <w:numId w:val="28"/>
        </w:numPr>
        <w:jc w:val="both"/>
      </w:pPr>
      <w:r w:rsidRPr="00F40543">
        <w:rPr>
          <w:b/>
        </w:rPr>
        <w:t>Centres de Santé 2 (“CSI 2”).</w:t>
      </w:r>
      <w:r w:rsidRPr="00A256F6">
        <w:t xml:space="preserve"> </w:t>
      </w:r>
      <w:r>
        <w:t xml:space="preserve">Medium sized health centers, often with multiple treatment rooms and a maternity room, managed by one or several doctors with several nurses; broad range of outpatient services including maternity and laboratory. </w:t>
      </w:r>
    </w:p>
    <w:p w14:paraId="2AAC4017" w14:textId="07C2CED7" w:rsidR="00252F3E" w:rsidRDefault="00252F3E" w:rsidP="00252F3E">
      <w:pPr>
        <w:jc w:val="both"/>
      </w:pPr>
      <w:r>
        <w:lastRenderedPageBreak/>
        <w:t>For each type of health facility, we assume different quantities of basic electric appliances as well as more sophisticated medical devices, based on consultations with the Mini</w:t>
      </w:r>
      <w:r w:rsidR="00A216F8">
        <w:t>stry of Health (see Appendix B.2</w:t>
      </w:r>
      <w:r>
        <w:t>.2).</w:t>
      </w:r>
    </w:p>
    <w:p w14:paraId="3B910275" w14:textId="77777777" w:rsidR="0065299E" w:rsidRPr="00435759" w:rsidRDefault="0065299E" w:rsidP="0065299E">
      <w:pPr>
        <w:pStyle w:val="H4NEWreportStyle"/>
      </w:pPr>
      <w:r w:rsidRPr="00435759">
        <w:t>Business case</w:t>
      </w:r>
    </w:p>
    <w:p w14:paraId="451812AD" w14:textId="2F0DF452" w:rsidR="0065299E" w:rsidRPr="00E91176" w:rsidRDefault="0065299E" w:rsidP="0065299E">
      <w:pPr>
        <w:jc w:val="both"/>
      </w:pPr>
      <w:r>
        <w:fldChar w:fldCharType="begin"/>
      </w:r>
      <w:r>
        <w:instrText xml:space="preserve"> REF _Ref476249820 \h </w:instrText>
      </w:r>
      <w:r>
        <w:fldChar w:fldCharType="separate"/>
      </w:r>
      <w:r w:rsidR="000D1C35">
        <w:t xml:space="preserve">Table </w:t>
      </w:r>
      <w:r w:rsidR="000D1C35">
        <w:rPr>
          <w:noProof/>
        </w:rPr>
        <w:t>9</w:t>
      </w:r>
      <w:r>
        <w:fldChar w:fldCharType="end"/>
      </w:r>
      <w:r>
        <w:t xml:space="preserve"> shows the business case under the same scenarios as for schools. This is positive under all scenarios for CSI 1 and CSI 2 except those that operate exclusively on grid power – that is, all facilities would realize cost savings by switching to solar whether they are replacing a stand-alone diesel generator, are on-grid but replacing a diesel back-up generator, or are switching from traditional lighting sources. The business case for Cases de Sant</w:t>
      </w:r>
      <w:r>
        <w:rPr>
          <w:rFonts w:cs="Segoe UI"/>
        </w:rPr>
        <w:t>é</w:t>
      </w:r>
      <w:r>
        <w:t xml:space="preserve"> is only positive for switching from traditional lighting methods, as the solar capacity needs of around 135W represent an investment of USD 1,000 for a solar home system, which does not amortize over a 5-year period against average annualized costs of around US $95 to power the facility with a generator.</w:t>
      </w:r>
    </w:p>
    <w:p w14:paraId="47915E53" w14:textId="44D0BBF8" w:rsidR="0065299E" w:rsidRDefault="0065299E" w:rsidP="0065299E">
      <w:pPr>
        <w:pStyle w:val="Caption"/>
      </w:pPr>
      <w:bookmarkStart w:id="99" w:name="_Ref476249820"/>
      <w:bookmarkStart w:id="100" w:name="_Toc500969373"/>
      <w:r>
        <w:t xml:space="preserve">Table </w:t>
      </w:r>
      <w:fldSimple w:instr=" SEQ Table \* ARABIC ">
        <w:r w:rsidR="000D1C35">
          <w:rPr>
            <w:noProof/>
          </w:rPr>
          <w:t>9</w:t>
        </w:r>
      </w:fldSimple>
      <w:bookmarkEnd w:id="99"/>
      <w:r>
        <w:t>: Annualized cost savings from solar usage for different health facilities</w:t>
      </w:r>
      <w:bookmarkEnd w:id="100"/>
    </w:p>
    <w:p w14:paraId="2EDC6A13" w14:textId="77777777" w:rsidR="0065299E" w:rsidRDefault="0065299E" w:rsidP="0065299E">
      <w:r w:rsidRPr="007D38F6">
        <w:rPr>
          <w:noProof/>
        </w:rPr>
        <w:drawing>
          <wp:inline distT="0" distB="0" distL="0" distR="0" wp14:anchorId="029324DD" wp14:editId="61F9D294">
            <wp:extent cx="5047488" cy="2670048"/>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7488" cy="2670048"/>
                    </a:xfrm>
                    <a:prstGeom prst="rect">
                      <a:avLst/>
                    </a:prstGeom>
                    <a:noFill/>
                    <a:ln>
                      <a:noFill/>
                    </a:ln>
                  </pic:spPr>
                </pic:pic>
              </a:graphicData>
            </a:graphic>
          </wp:inline>
        </w:drawing>
      </w:r>
    </w:p>
    <w:p w14:paraId="58DE1F29" w14:textId="77777777" w:rsidR="0065299E" w:rsidRDefault="0065299E" w:rsidP="0065299E">
      <w:pPr>
        <w:jc w:val="both"/>
      </w:pPr>
      <w:r>
        <w:t>As with educational institutions, the absolute business case is strongest across all scenarios for the largest institutions (CSI 2), and weakest for the smallest institutions (Cases de Sant</w:t>
      </w:r>
      <w:r>
        <w:rPr>
          <w:rFonts w:cs="Segoe UI"/>
        </w:rPr>
        <w:t>é</w:t>
      </w:r>
      <w:r>
        <w:t xml:space="preserve">). </w:t>
      </w:r>
    </w:p>
    <w:p w14:paraId="5C5E53F1" w14:textId="77777777" w:rsidR="0065299E" w:rsidRDefault="0065299E" w:rsidP="0065299E">
      <w:pPr>
        <w:pStyle w:val="H4NEWreportStyle"/>
      </w:pPr>
      <w:r>
        <w:t>Market size</w:t>
      </w:r>
    </w:p>
    <w:p w14:paraId="29C71B8B" w14:textId="40978D1B" w:rsidR="0065299E" w:rsidRDefault="0065299E" w:rsidP="0065299E">
      <w:pPr>
        <w:jc w:val="both"/>
      </w:pPr>
      <w:r>
        <w:t>We now estimate the total market size based on the business case above, assuming that the on-grid/off-grid split for health institutions is the same as for households, and that larger institutions are less likely to depend on traditional lighting technologies (</w:t>
      </w:r>
      <w:r w:rsidR="00A216F8">
        <w:t>see Appendix B.2</w:t>
      </w:r>
      <w:r w:rsidR="00460730">
        <w:t>.2)</w:t>
      </w:r>
      <w:r>
        <w:t>.</w:t>
      </w:r>
    </w:p>
    <w:p w14:paraId="3D37696E" w14:textId="77777777" w:rsidR="0065299E" w:rsidRDefault="0065299E" w:rsidP="0065299E">
      <w:pPr>
        <w:jc w:val="both"/>
      </w:pPr>
      <w:r>
        <w:t xml:space="preserve">Based on these assumptions and the results of our business case analysis, we estimate the annualized market size for public health institutions at US $0.4 million. This market is significantly smaller than for educational institutions simply due to the fact that there are almost five times as many educational institutions than health institutions in Niger. </w:t>
      </w:r>
    </w:p>
    <w:p w14:paraId="11D47988" w14:textId="47439F47" w:rsidR="0065299E" w:rsidRDefault="0065299E" w:rsidP="0065299E">
      <w:pPr>
        <w:pStyle w:val="Caption"/>
      </w:pPr>
      <w:bookmarkStart w:id="101" w:name="_Toc500969374"/>
      <w:r>
        <w:lastRenderedPageBreak/>
        <w:t xml:space="preserve">Table </w:t>
      </w:r>
      <w:fldSimple w:instr=" SEQ Table \* ARABIC ">
        <w:r w:rsidR="000D1C35">
          <w:rPr>
            <w:noProof/>
          </w:rPr>
          <w:t>10</w:t>
        </w:r>
      </w:fldSimple>
      <w:r>
        <w:t>: Number of health facilities and solar market size by region</w:t>
      </w:r>
      <w:bookmarkEnd w:id="101"/>
    </w:p>
    <w:p w14:paraId="1F46FE58" w14:textId="05563501" w:rsidR="0065299E" w:rsidRPr="00C0472E" w:rsidRDefault="00D37B4C" w:rsidP="0065299E">
      <w:r w:rsidRPr="00D37B4C">
        <w:rPr>
          <w:noProof/>
        </w:rPr>
        <w:drawing>
          <wp:inline distT="0" distB="0" distL="0" distR="0" wp14:anchorId="00F3999C" wp14:editId="78E36AA5">
            <wp:extent cx="5943600" cy="3101628"/>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101628"/>
                    </a:xfrm>
                    <a:prstGeom prst="rect">
                      <a:avLst/>
                    </a:prstGeom>
                    <a:noFill/>
                    <a:ln>
                      <a:noFill/>
                    </a:ln>
                  </pic:spPr>
                </pic:pic>
              </a:graphicData>
            </a:graphic>
          </wp:inline>
        </w:drawing>
      </w:r>
      <w:r w:rsidR="0065299E" w:rsidRPr="00C0472E">
        <w:t xml:space="preserve">  </w:t>
      </w:r>
    </w:p>
    <w:p w14:paraId="019848B2" w14:textId="4DC1ED1B" w:rsidR="0065299E" w:rsidRPr="001644B1" w:rsidRDefault="0065299E" w:rsidP="0065299E">
      <w:pPr>
        <w:jc w:val="both"/>
      </w:pPr>
      <w:r w:rsidRPr="001644B1">
        <w:t>The cases de santé present an opportunity</w:t>
      </w:r>
      <w:r>
        <w:t>, albeit a small on</w:t>
      </w:r>
      <w:r w:rsidR="000664FA">
        <w:t>e</w:t>
      </w:r>
      <w:r>
        <w:t>,</w:t>
      </w:r>
      <w:r w:rsidRPr="001644B1">
        <w:t xml:space="preserve"> </w:t>
      </w:r>
      <w:r>
        <w:t>for large solar home systems</w:t>
      </w:r>
      <w:r w:rsidR="000664FA">
        <w:t xml:space="preserve"> meeting Lighting Global Quality Standards</w:t>
      </w:r>
      <w:r>
        <w:t>; with a capacity need of 135W, the annual sales volume potential for large solar home systems is 442, representing a market size of around US $97,000. CSIs require larger PV installations of 1.1kW for CSI 1 and 1.6kW for CSI 2. The annual potential sales volume for CSI 1 is around 32 units generating revenues of around US $202,000, and 14 units with revenues of US $116,000 for CSI 2.</w:t>
      </w:r>
    </w:p>
    <w:p w14:paraId="4A297628" w14:textId="77777777" w:rsidR="0065299E" w:rsidRPr="00955049" w:rsidRDefault="0065299E" w:rsidP="001C46F8">
      <w:pPr>
        <w:pStyle w:val="H3NEWreportStyle"/>
        <w:numPr>
          <w:ilvl w:val="2"/>
          <w:numId w:val="42"/>
        </w:numPr>
        <w:spacing w:before="360"/>
      </w:pPr>
      <w:bookmarkStart w:id="102" w:name="_Toc501097037"/>
      <w:r w:rsidRPr="00955049">
        <w:t>Public buildings</w:t>
      </w:r>
      <w:bookmarkEnd w:id="102"/>
    </w:p>
    <w:p w14:paraId="0B319FDB" w14:textId="25B5BC7B" w:rsidR="0065299E" w:rsidRPr="00E91176" w:rsidRDefault="0065299E" w:rsidP="0065299E">
      <w:pPr>
        <w:jc w:val="both"/>
      </w:pPr>
      <w:r>
        <w:t xml:space="preserve">Finally, we repeat the analysis for public buildings, considering specifically Commune administration centers, Departement administration centers, police stations </w:t>
      </w:r>
      <w:r w:rsidR="000664FA">
        <w:t xml:space="preserve">and </w:t>
      </w:r>
      <w:r>
        <w:t>court houses, and prisons.</w:t>
      </w:r>
      <w:r w:rsidR="004768FA">
        <w:t xml:space="preserve"> </w:t>
      </w:r>
      <w:r>
        <w:t xml:space="preserve">Based on consultations, we assume </w:t>
      </w:r>
      <w:r w:rsidR="004768FA">
        <w:t xml:space="preserve">different </w:t>
      </w:r>
      <w:r>
        <w:t>appliance and energy consumption profile</w:t>
      </w:r>
      <w:r w:rsidR="004768FA">
        <w:t>s</w:t>
      </w:r>
      <w:r>
        <w:t xml:space="preserve"> for the different types of public building</w:t>
      </w:r>
      <w:r w:rsidR="000664FA">
        <w:t>s</w:t>
      </w:r>
      <w:r w:rsidR="00A216F8">
        <w:t xml:space="preserve"> (see Appendix B.2</w:t>
      </w:r>
      <w:r w:rsidR="004768FA">
        <w:t>.3).</w:t>
      </w:r>
      <w:r>
        <w:t xml:space="preserve"> </w:t>
      </w:r>
    </w:p>
    <w:p w14:paraId="78D05ACC" w14:textId="77777777" w:rsidR="00583EF3" w:rsidRDefault="00583EF3" w:rsidP="0065299E">
      <w:pPr>
        <w:pStyle w:val="H4NEWreportStyle"/>
      </w:pPr>
    </w:p>
    <w:p w14:paraId="25DF2626" w14:textId="0CE99A47" w:rsidR="0065299E" w:rsidRDefault="0065299E" w:rsidP="0065299E">
      <w:pPr>
        <w:pStyle w:val="H4NEWreportStyle"/>
      </w:pPr>
      <w:r>
        <w:t>Business case</w:t>
      </w:r>
    </w:p>
    <w:p w14:paraId="7CC7537F" w14:textId="77777777" w:rsidR="0065299E" w:rsidRPr="00E91176" w:rsidRDefault="0065299E" w:rsidP="0065299E">
      <w:pPr>
        <w:jc w:val="both"/>
      </w:pPr>
      <w:r>
        <w:t>Except for the cost comparison to pure on-grid power consumption, we find a positive business case for all public buildings under all scenarios, regardless of whether they are replacing i) stand-alone diesel generators with stand-alone solar systems, ii) traditional lighting methods with stand-alone solar systems, or iii) replacing diesel backup generators with solar backup generators. This occurs as even the lowest energy-consuming public building (the community administrative center) would require relatively large solar installations (1.25kW).</w:t>
      </w:r>
    </w:p>
    <w:p w14:paraId="05DB2B39" w14:textId="6AE34442" w:rsidR="0065299E" w:rsidRDefault="0065299E" w:rsidP="0065299E">
      <w:pPr>
        <w:pStyle w:val="Caption"/>
      </w:pPr>
      <w:bookmarkStart w:id="103" w:name="_Toc500969375"/>
      <w:r>
        <w:lastRenderedPageBreak/>
        <w:t xml:space="preserve">Table </w:t>
      </w:r>
      <w:fldSimple w:instr=" SEQ Table \* ARABIC ">
        <w:r w:rsidR="000D1C35">
          <w:rPr>
            <w:noProof/>
          </w:rPr>
          <w:t>11</w:t>
        </w:r>
      </w:fldSimple>
      <w:r>
        <w:t>: Annualized cost savings from solar usage for different public buildings</w:t>
      </w:r>
      <w:bookmarkEnd w:id="103"/>
    </w:p>
    <w:p w14:paraId="4415D564" w14:textId="77777777" w:rsidR="0065299E" w:rsidRDefault="0065299E" w:rsidP="0065299E">
      <w:r w:rsidRPr="002E7383">
        <w:rPr>
          <w:noProof/>
        </w:rPr>
        <w:drawing>
          <wp:inline distT="0" distB="0" distL="0" distR="0" wp14:anchorId="523C24BB" wp14:editId="685A0707">
            <wp:extent cx="5692140" cy="2587192"/>
            <wp:effectExtent l="0" t="0" r="381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619" cy="2589682"/>
                    </a:xfrm>
                    <a:prstGeom prst="rect">
                      <a:avLst/>
                    </a:prstGeom>
                    <a:noFill/>
                    <a:ln>
                      <a:noFill/>
                    </a:ln>
                  </pic:spPr>
                </pic:pic>
              </a:graphicData>
            </a:graphic>
          </wp:inline>
        </w:drawing>
      </w:r>
    </w:p>
    <w:p w14:paraId="14A83333" w14:textId="77777777" w:rsidR="0065299E" w:rsidRDefault="0065299E" w:rsidP="0065299E">
      <w:pPr>
        <w:pStyle w:val="H4NEWreportStyle"/>
      </w:pPr>
      <w:r>
        <w:t>Market size</w:t>
      </w:r>
    </w:p>
    <w:p w14:paraId="0385B328" w14:textId="0DAD4749" w:rsidR="004768FA" w:rsidRDefault="0065299E" w:rsidP="0065299E">
      <w:pPr>
        <w:jc w:val="both"/>
      </w:pPr>
      <w:r>
        <w:t xml:space="preserve">We </w:t>
      </w:r>
      <w:r w:rsidR="004768FA">
        <w:t xml:space="preserve">again </w:t>
      </w:r>
      <w:r>
        <w:t>assume that the on-grid/off-grid split for public buildings is the same as for households</w:t>
      </w:r>
      <w:r w:rsidR="004768FA">
        <w:t xml:space="preserve">, and, based on consultations, make assumptions on current </w:t>
      </w:r>
      <w:r w:rsidR="00A216F8">
        <w:t>energy sources (see Appendix B.2</w:t>
      </w:r>
      <w:r w:rsidR="004768FA">
        <w:t>.3).</w:t>
      </w:r>
    </w:p>
    <w:p w14:paraId="5AA7D6B2" w14:textId="1F120FC3" w:rsidR="0065299E" w:rsidRDefault="0065299E" w:rsidP="0065299E">
      <w:pPr>
        <w:jc w:val="both"/>
      </w:pPr>
      <w:r>
        <w:fldChar w:fldCharType="begin"/>
      </w:r>
      <w:r>
        <w:instrText xml:space="preserve"> REF _Ref476307824 \h </w:instrText>
      </w:r>
      <w:r>
        <w:fldChar w:fldCharType="separate"/>
      </w:r>
      <w:r w:rsidR="000D1C35">
        <w:t xml:space="preserve">Table </w:t>
      </w:r>
      <w:r w:rsidR="000D1C35">
        <w:rPr>
          <w:noProof/>
        </w:rPr>
        <w:t>12</w:t>
      </w:r>
      <w:r>
        <w:fldChar w:fldCharType="end"/>
      </w:r>
      <w:r>
        <w:t xml:space="preserve"> shows the annualized market size for solar in other public buildings. We estimate an annual market size of around US $0.4 million.  </w:t>
      </w:r>
    </w:p>
    <w:p w14:paraId="73E43FEE" w14:textId="77777777" w:rsidR="0065299E" w:rsidRDefault="0065299E" w:rsidP="0065299E">
      <w:r>
        <w:t xml:space="preserve"> </w:t>
      </w:r>
    </w:p>
    <w:p w14:paraId="16758DE4" w14:textId="0CA349FF" w:rsidR="0065299E" w:rsidRDefault="0065299E" w:rsidP="0065299E">
      <w:pPr>
        <w:pStyle w:val="Caption"/>
      </w:pPr>
      <w:bookmarkStart w:id="104" w:name="_Ref476307824"/>
      <w:bookmarkStart w:id="105" w:name="_Toc500969376"/>
      <w:r>
        <w:lastRenderedPageBreak/>
        <w:t xml:space="preserve">Table </w:t>
      </w:r>
      <w:fldSimple w:instr=" SEQ Table \* ARABIC ">
        <w:r w:rsidR="000D1C35">
          <w:rPr>
            <w:noProof/>
          </w:rPr>
          <w:t>12</w:t>
        </w:r>
      </w:fldSimple>
      <w:bookmarkEnd w:id="104"/>
      <w:r>
        <w:t>: Number of other public buildings and solar market size by region</w:t>
      </w:r>
      <w:bookmarkEnd w:id="105"/>
    </w:p>
    <w:p w14:paraId="36D12431" w14:textId="09A7FC4B" w:rsidR="0065299E" w:rsidRDefault="00AB6008" w:rsidP="0065299E">
      <w:r w:rsidRPr="00AB6008">
        <w:rPr>
          <w:noProof/>
        </w:rPr>
        <w:drawing>
          <wp:inline distT="0" distB="0" distL="0" distR="0" wp14:anchorId="4BC68A87" wp14:editId="76A33CC8">
            <wp:extent cx="5943600" cy="3409724"/>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09724"/>
                    </a:xfrm>
                    <a:prstGeom prst="rect">
                      <a:avLst/>
                    </a:prstGeom>
                    <a:noFill/>
                    <a:ln>
                      <a:noFill/>
                    </a:ln>
                  </pic:spPr>
                </pic:pic>
              </a:graphicData>
            </a:graphic>
          </wp:inline>
        </w:drawing>
      </w:r>
    </w:p>
    <w:p w14:paraId="66D0CD7D" w14:textId="106646C4" w:rsidR="0065299E" w:rsidRDefault="0065299E" w:rsidP="0065299E">
      <w:r>
        <w:t>As there are only around 1,100 other public buildings, and these all require PV installations with 20 years’ lifetime, the annual potential sales volume is low, with 52 buildings being equipped with solar each year.  The largest individual market segment is ‘police &amp; courts’, as there are several small police stations spread nationwide.</w:t>
      </w:r>
    </w:p>
    <w:p w14:paraId="669F53E8" w14:textId="663B1D91" w:rsidR="007037A3" w:rsidRPr="00955049" w:rsidRDefault="007037A3" w:rsidP="00955049">
      <w:pPr>
        <w:pStyle w:val="H2NEWreportStyle"/>
      </w:pPr>
      <w:bookmarkStart w:id="106" w:name="_Toc501097038"/>
      <w:r w:rsidRPr="00955049">
        <w:t>Agricultural irrigation</w:t>
      </w:r>
      <w:bookmarkEnd w:id="106"/>
    </w:p>
    <w:p w14:paraId="4187E567" w14:textId="362E8964" w:rsidR="007B5D6A" w:rsidRDefault="00060DEB" w:rsidP="009769AD">
      <w:pPr>
        <w:jc w:val="both"/>
      </w:pPr>
      <w:r w:rsidRPr="00060DEB">
        <w:t>Employing over half of Niger’s population, agriculture is a significant economic sector, and accounts for around 67% of annual freshwater pumping</w:t>
      </w:r>
      <w:r w:rsidR="00955160">
        <w:t>.</w:t>
      </w:r>
      <w:r w:rsidRPr="00060DEB">
        <w:rPr>
          <w:vertAlign w:val="superscript"/>
        </w:rPr>
        <w:footnoteReference w:id="39"/>
      </w:r>
      <w:r w:rsidRPr="00060DEB">
        <w:t xml:space="preserve"> A large share of this is used for irrigation to enable cultivation in Niger’s dry, hot conditions. This implies a significant market opportunity for irrigation technologies and related water pumping systems. Water pumps allow farmers to channel water into their irrigation systems, either by (i) pumping groundwater to the surface, or (ii) pumping water out of nearby rivers and dams. As grid reach is limited in rural, agricultural areas, there is a market opportunity for solar pumps for irrigation systems. In this chapter, we explore the market size for these technologies at the farm level, assessing the business case for solar compared to alternative power sources (that is, diesel powered generators), and then determining the resulting market size. We divide the analysis into large-scale irrigation schemes (ONAHA) and individual farms.</w:t>
      </w:r>
      <w:r w:rsidR="00250169">
        <w:t xml:space="preserve"> </w:t>
      </w:r>
    </w:p>
    <w:p w14:paraId="66957E89" w14:textId="680F11FF" w:rsidR="007B5D6A" w:rsidRDefault="007B5D6A" w:rsidP="001C46F8">
      <w:pPr>
        <w:pStyle w:val="H3NEWreportStyle"/>
        <w:numPr>
          <w:ilvl w:val="2"/>
          <w:numId w:val="42"/>
        </w:numPr>
        <w:spacing w:before="360"/>
      </w:pPr>
      <w:bookmarkStart w:id="107" w:name="_Toc501097039"/>
      <w:r>
        <w:lastRenderedPageBreak/>
        <w:t>Large irrigation schemes (ONAHA)</w:t>
      </w:r>
      <w:bookmarkEnd w:id="107"/>
    </w:p>
    <w:p w14:paraId="18A744B0" w14:textId="77777777" w:rsidR="00060DEB" w:rsidRDefault="00060DEB" w:rsidP="00060DEB">
      <w:pPr>
        <w:jc w:val="both"/>
        <w:rPr>
          <w:rFonts w:cs="Segoe UI"/>
        </w:rPr>
      </w:pPr>
      <w:r>
        <w:t>Large-scale public irrigation schemes for farming cooperatives are managed by ONAHA, a public but autonomously funded organization under the Ministry of Agriculture that organizes and supports farmer cooperatives. In total, there are 72 ONAHA-managed land plots or “AHA” (Amenagements Hydro Agricole) in Niger, covering a surface area of almost 17,000 hectares. The size of the AHA varies considerably from 15 hectares to 1,370 hectares.</w:t>
      </w:r>
      <w:r>
        <w:rPr>
          <w:rStyle w:val="FootnoteReference"/>
        </w:rPr>
        <w:footnoteReference w:id="40"/>
      </w:r>
      <w:r>
        <w:t xml:space="preserve"> Each AHA is rented by a cooperative, which then sublets smaller plots to individual members who also pay fees for water pumping services. Historically these individual plots have covered an area of 0.25 hectares per plot, but ONAHA is currently in the process of increasing this to 0.5 hectares, so that the current average plot size stands at around 0.4 hectares</w:t>
      </w:r>
      <w:r>
        <w:rPr>
          <w:rFonts w:cs="Segoe UI"/>
        </w:rPr>
        <w:t>.</w:t>
      </w:r>
      <w:r>
        <w:rPr>
          <w:rStyle w:val="FootnoteReference"/>
          <w:rFonts w:cs="Segoe UI"/>
        </w:rPr>
        <w:footnoteReference w:id="41"/>
      </w:r>
      <w:r>
        <w:rPr>
          <w:rFonts w:cs="Segoe UI"/>
        </w:rPr>
        <w:t xml:space="preserve"> </w:t>
      </w:r>
    </w:p>
    <w:p w14:paraId="1891D7A2" w14:textId="0DE6354C" w:rsidR="0037270C" w:rsidRDefault="00060DEB" w:rsidP="00060DEB">
      <w:pPr>
        <w:jc w:val="both"/>
        <w:rPr>
          <w:rFonts w:cs="Segoe UI"/>
        </w:rPr>
      </w:pPr>
      <w:r>
        <w:rPr>
          <w:rFonts w:cs="Segoe UI"/>
        </w:rPr>
        <w:fldChar w:fldCharType="begin"/>
      </w:r>
      <w:r>
        <w:rPr>
          <w:rFonts w:cs="Segoe UI"/>
        </w:rPr>
        <w:instrText xml:space="preserve"> REF _Ref476754015 \h </w:instrText>
      </w:r>
      <w:r>
        <w:rPr>
          <w:rFonts w:cs="Segoe UI"/>
        </w:rPr>
      </w:r>
      <w:r>
        <w:rPr>
          <w:rFonts w:cs="Segoe UI"/>
        </w:rPr>
        <w:fldChar w:fldCharType="separate"/>
      </w:r>
      <w:r w:rsidR="000D1C35">
        <w:t xml:space="preserve">Table </w:t>
      </w:r>
      <w:r w:rsidR="000D1C35">
        <w:rPr>
          <w:noProof/>
        </w:rPr>
        <w:t>13</w:t>
      </w:r>
      <w:r>
        <w:rPr>
          <w:rFonts w:cs="Segoe UI"/>
        </w:rPr>
        <w:fldChar w:fldCharType="end"/>
      </w:r>
      <w:r>
        <w:rPr>
          <w:rFonts w:cs="Segoe UI"/>
        </w:rPr>
        <w:t xml:space="preserve"> provides an overview of the 72 AHA</w:t>
      </w:r>
      <w:r w:rsidR="00CA1923">
        <w:rPr>
          <w:rFonts w:cs="Segoe UI"/>
        </w:rPr>
        <w:t>s</w:t>
      </w:r>
      <w:r>
        <w:rPr>
          <w:rFonts w:cs="Segoe UI"/>
        </w:rPr>
        <w:t>, breaking them down by key crops and water source. Rice farming accounts for 69% of the irrigated land area, with the rest being polyculture (cultivation of several crops simultaneously). Most of the AHA</w:t>
      </w:r>
      <w:r w:rsidR="00CA1923">
        <w:rPr>
          <w:rFonts w:cs="Segoe UI"/>
        </w:rPr>
        <w:t>s</w:t>
      </w:r>
      <w:r>
        <w:rPr>
          <w:rFonts w:cs="Segoe UI"/>
        </w:rPr>
        <w:t xml:space="preserve"> are situated in proximity to rivers, so that 93% of the irrigated land area can source its water directly from rivers and dams. The remaining 7% of irrigated land area requires wells as sources of water, and therefore the energy required – to pump water to the surface – is significantly higher for these.</w:t>
      </w:r>
      <w:r w:rsidR="0037270C">
        <w:rPr>
          <w:rFonts w:cs="Segoe UI"/>
        </w:rPr>
        <w:t xml:space="preserve"> </w:t>
      </w:r>
    </w:p>
    <w:p w14:paraId="243F52EC" w14:textId="5538B95D" w:rsidR="00D8321A" w:rsidRDefault="00E02E27" w:rsidP="00D8321A">
      <w:pPr>
        <w:pStyle w:val="Caption"/>
        <w:jc w:val="both"/>
      </w:pPr>
      <w:bookmarkStart w:id="108" w:name="_Ref476754015"/>
      <w:bookmarkStart w:id="109" w:name="_Toc500969377"/>
      <w:r>
        <w:t>Table</w:t>
      </w:r>
      <w:r w:rsidR="00D8321A">
        <w:t xml:space="preserve"> </w:t>
      </w:r>
      <w:r w:rsidR="00D8321A">
        <w:fldChar w:fldCharType="begin"/>
      </w:r>
      <w:r w:rsidR="00D8321A">
        <w:instrText xml:space="preserve"> SEQ </w:instrText>
      </w:r>
      <w:r>
        <w:instrText>Table</w:instrText>
      </w:r>
      <w:r w:rsidR="00D8321A">
        <w:instrText xml:space="preserve"> \* ARABIC </w:instrText>
      </w:r>
      <w:r w:rsidR="00D8321A">
        <w:fldChar w:fldCharType="separate"/>
      </w:r>
      <w:r w:rsidR="000D1C35">
        <w:rPr>
          <w:noProof/>
        </w:rPr>
        <w:t>13</w:t>
      </w:r>
      <w:r w:rsidR="00D8321A">
        <w:fldChar w:fldCharType="end"/>
      </w:r>
      <w:bookmarkEnd w:id="108"/>
      <w:r w:rsidR="00D8321A">
        <w:t>: Overview of ONAHA’s large irrigation schemes</w:t>
      </w:r>
      <w:r w:rsidR="0065023C">
        <w:t xml:space="preserve"> by Region</w:t>
      </w:r>
      <w:bookmarkEnd w:id="109"/>
    </w:p>
    <w:p w14:paraId="15B19676" w14:textId="3E78F664" w:rsidR="00793690" w:rsidRDefault="00B312F8" w:rsidP="007F58CF">
      <w:pPr>
        <w:jc w:val="both"/>
      </w:pPr>
      <w:r w:rsidRPr="00B312F8">
        <w:rPr>
          <w:noProof/>
        </w:rPr>
        <w:drawing>
          <wp:inline distT="0" distB="0" distL="0" distR="0" wp14:anchorId="093A3D59" wp14:editId="10196354">
            <wp:extent cx="4910328" cy="1691640"/>
            <wp:effectExtent l="0" t="0" r="508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0328" cy="1691640"/>
                    </a:xfrm>
                    <a:prstGeom prst="rect">
                      <a:avLst/>
                    </a:prstGeom>
                    <a:noFill/>
                    <a:ln>
                      <a:noFill/>
                    </a:ln>
                  </pic:spPr>
                </pic:pic>
              </a:graphicData>
            </a:graphic>
          </wp:inline>
        </w:drawing>
      </w:r>
    </w:p>
    <w:p w14:paraId="58034881" w14:textId="4C33E916" w:rsidR="00060DEB" w:rsidRDefault="00060DEB" w:rsidP="00060DEB">
      <w:pPr>
        <w:jc w:val="both"/>
        <w:rPr>
          <w:rFonts w:cs="Segoe UI"/>
        </w:rPr>
      </w:pPr>
      <w:r>
        <w:rPr>
          <w:rFonts w:cs="Segoe UI"/>
        </w:rPr>
        <w:t>We estimate power requirements for irrigating AHA</w:t>
      </w:r>
      <w:r w:rsidR="00CA1923">
        <w:rPr>
          <w:rFonts w:cs="Segoe UI"/>
        </w:rPr>
        <w:t>s</w:t>
      </w:r>
      <w:r>
        <w:rPr>
          <w:rFonts w:cs="Segoe UI"/>
        </w:rPr>
        <w:t xml:space="preserve"> based on (i) water volumes required (driven mainly by plot size and crop cultivated), (ii) the water source (e.g. wells require water to be pumped to the surface), and (iii) pumping distances (determined by the land area covered).</w:t>
      </w:r>
      <w:r w:rsidR="00E16443">
        <w:rPr>
          <w:rFonts w:cs="Segoe UI"/>
        </w:rPr>
        <w:t xml:space="preserve"> Further details on the methodology of our analy</w:t>
      </w:r>
      <w:r w:rsidR="00A216F8">
        <w:rPr>
          <w:rFonts w:cs="Segoe UI"/>
        </w:rPr>
        <w:t>sis is available in Appendix B.3</w:t>
      </w:r>
      <w:r w:rsidR="00E16443">
        <w:rPr>
          <w:rFonts w:cs="Segoe UI"/>
        </w:rPr>
        <w:t>.1.</w:t>
      </w:r>
    </w:p>
    <w:p w14:paraId="165091CC" w14:textId="5290C324" w:rsidR="007D1B60" w:rsidRPr="00950804" w:rsidRDefault="00DA3073" w:rsidP="00955049">
      <w:pPr>
        <w:pStyle w:val="H4NEWreportStyle"/>
      </w:pPr>
      <w:r>
        <w:t>Business case</w:t>
      </w:r>
    </w:p>
    <w:p w14:paraId="6F990458" w14:textId="51B90FA3" w:rsidR="00FD271C" w:rsidRPr="00744CEC" w:rsidRDefault="00060DEB" w:rsidP="00060DEB">
      <w:pPr>
        <w:jc w:val="both"/>
        <w:rPr>
          <w:rFonts w:cs="Segoe UI"/>
        </w:rPr>
      </w:pPr>
      <w:r>
        <w:rPr>
          <w:rFonts w:cs="Segoe UI"/>
        </w:rPr>
        <w:t xml:space="preserve">Comparing the cost of solar-powered with generator-powered pumping systems, we find that –  assuming each pumping station covers a </w:t>
      </w:r>
      <w:r w:rsidRPr="00273DE4">
        <w:rPr>
          <w:rFonts w:cs="Segoe UI"/>
          <w:i/>
        </w:rPr>
        <w:t>maximum</w:t>
      </w:r>
      <w:r>
        <w:rPr>
          <w:rFonts w:cs="Segoe UI"/>
        </w:rPr>
        <w:t xml:space="preserve"> surface area of 25 hectares – there is a business case for all AHA</w:t>
      </w:r>
      <w:r w:rsidR="00CA1923">
        <w:rPr>
          <w:rFonts w:cs="Segoe UI"/>
        </w:rPr>
        <w:t>s</w:t>
      </w:r>
      <w:r>
        <w:rPr>
          <w:rFonts w:cs="Segoe UI"/>
        </w:rPr>
        <w:t xml:space="preserve"> for changing from generator to solar. On the other hand, solar systems </w:t>
      </w:r>
      <w:r w:rsidR="00B45586">
        <w:rPr>
          <w:rFonts w:cs="Segoe UI"/>
        </w:rPr>
        <w:t>d</w:t>
      </w:r>
      <w:r>
        <w:rPr>
          <w:rFonts w:cs="Segoe UI"/>
        </w:rPr>
        <w:t xml:space="preserve">o not provide a cost-effective </w:t>
      </w:r>
      <w:r>
        <w:rPr>
          <w:rFonts w:cs="Segoe UI"/>
        </w:rPr>
        <w:lastRenderedPageBreak/>
        <w:t>alternative for AHA with grid access, representing around 70% of the total surface area of ONAHA plots</w:t>
      </w:r>
      <w:r w:rsidRPr="00744CEC">
        <w:rPr>
          <w:rFonts w:cs="Segoe UI"/>
        </w:rPr>
        <w:t>.</w:t>
      </w:r>
      <w:r>
        <w:rPr>
          <w:rFonts w:cs="Segoe UI"/>
        </w:rPr>
        <w:t xml:space="preserve"> </w:t>
      </w:r>
      <w:r w:rsidRPr="00744CEC">
        <w:rPr>
          <w:rFonts w:cs="Segoe UI"/>
        </w:rPr>
        <w:fldChar w:fldCharType="begin"/>
      </w:r>
      <w:r w:rsidRPr="00744CEC">
        <w:rPr>
          <w:rFonts w:cs="Segoe UI"/>
        </w:rPr>
        <w:instrText xml:space="preserve"> REF _Ref476763775 \h </w:instrText>
      </w:r>
      <w:r w:rsidRPr="00744CEC">
        <w:rPr>
          <w:rFonts w:cs="Segoe UI"/>
        </w:rPr>
      </w:r>
      <w:r w:rsidRPr="00744CEC">
        <w:rPr>
          <w:rFonts w:cs="Segoe UI"/>
        </w:rPr>
        <w:fldChar w:fldCharType="separate"/>
      </w:r>
      <w:r w:rsidR="000D1C35">
        <w:t xml:space="preserve">Table </w:t>
      </w:r>
      <w:r w:rsidR="000D1C35">
        <w:rPr>
          <w:noProof/>
        </w:rPr>
        <w:t>14</w:t>
      </w:r>
      <w:r w:rsidRPr="00744CEC">
        <w:rPr>
          <w:rFonts w:cs="Segoe UI"/>
        </w:rPr>
        <w:fldChar w:fldCharType="end"/>
      </w:r>
      <w:r w:rsidRPr="00744CEC">
        <w:rPr>
          <w:rFonts w:cs="Segoe UI"/>
        </w:rPr>
        <w:t xml:space="preserve"> </w:t>
      </w:r>
      <w:r>
        <w:rPr>
          <w:rFonts w:cs="Segoe UI"/>
        </w:rPr>
        <w:t xml:space="preserve">summarizes these results. </w:t>
      </w:r>
      <w:r w:rsidR="006D6EDB">
        <w:rPr>
          <w:rFonts w:cs="Segoe UI"/>
        </w:rPr>
        <w:t xml:space="preserve"> </w:t>
      </w:r>
      <w:r w:rsidR="00682F43" w:rsidRPr="00744CEC">
        <w:rPr>
          <w:rFonts w:cs="Segoe UI"/>
        </w:rPr>
        <w:t xml:space="preserve"> </w:t>
      </w:r>
    </w:p>
    <w:p w14:paraId="0DEB9F1B" w14:textId="420AD313" w:rsidR="009B1AC5" w:rsidRDefault="00E02E27" w:rsidP="009B1AC5">
      <w:pPr>
        <w:pStyle w:val="Caption"/>
        <w:jc w:val="both"/>
      </w:pPr>
      <w:bookmarkStart w:id="110" w:name="_Ref476763775"/>
      <w:bookmarkStart w:id="111" w:name="_Toc500969378"/>
      <w:r>
        <w:t>Table</w:t>
      </w:r>
      <w:r w:rsidR="009B1AC5">
        <w:t xml:space="preserve"> </w:t>
      </w:r>
      <w:r w:rsidR="009B1AC5">
        <w:fldChar w:fldCharType="begin"/>
      </w:r>
      <w:r w:rsidR="009B1AC5">
        <w:instrText xml:space="preserve"> SEQ </w:instrText>
      </w:r>
      <w:r>
        <w:instrText>Table</w:instrText>
      </w:r>
      <w:r w:rsidR="009B1AC5">
        <w:instrText xml:space="preserve"> \* ARABIC </w:instrText>
      </w:r>
      <w:r w:rsidR="009B1AC5">
        <w:fldChar w:fldCharType="separate"/>
      </w:r>
      <w:r w:rsidR="000D1C35">
        <w:rPr>
          <w:noProof/>
        </w:rPr>
        <w:t>14</w:t>
      </w:r>
      <w:r w:rsidR="009B1AC5">
        <w:fldChar w:fldCharType="end"/>
      </w:r>
      <w:bookmarkEnd w:id="110"/>
      <w:r w:rsidR="009B1AC5">
        <w:t>: The business case for selective AHA</w:t>
      </w:r>
      <w:r w:rsidR="00CA1923">
        <w:t>s</w:t>
      </w:r>
      <w:bookmarkEnd w:id="111"/>
    </w:p>
    <w:p w14:paraId="4540BA76" w14:textId="581686B4" w:rsidR="00FD271C" w:rsidRDefault="006D6EDB" w:rsidP="00AF153C">
      <w:pPr>
        <w:jc w:val="both"/>
        <w:rPr>
          <w:rFonts w:cs="Segoe UI"/>
        </w:rPr>
      </w:pPr>
      <w:r w:rsidRPr="006D6EDB">
        <w:rPr>
          <w:noProof/>
        </w:rPr>
        <w:drawing>
          <wp:inline distT="0" distB="0" distL="0" distR="0" wp14:anchorId="628A16A3" wp14:editId="12D19D4D">
            <wp:extent cx="3648456" cy="1179576"/>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456" cy="1179576"/>
                    </a:xfrm>
                    <a:prstGeom prst="rect">
                      <a:avLst/>
                    </a:prstGeom>
                    <a:noFill/>
                    <a:ln>
                      <a:noFill/>
                    </a:ln>
                  </pic:spPr>
                </pic:pic>
              </a:graphicData>
            </a:graphic>
          </wp:inline>
        </w:drawing>
      </w:r>
    </w:p>
    <w:p w14:paraId="21338264" w14:textId="10BFE97C" w:rsidR="008010BB" w:rsidRDefault="008010BB" w:rsidP="008010BB">
      <w:pPr>
        <w:jc w:val="both"/>
        <w:rPr>
          <w:rFonts w:cs="Segoe UI"/>
        </w:rPr>
      </w:pPr>
      <w:r>
        <w:rPr>
          <w:rFonts w:cs="Segoe UI"/>
        </w:rPr>
        <w:t>Our analysis further shows that the strength of the business case is sensitive to two key factors: (i) the solar system size, and (ii) the capacity utilization</w:t>
      </w:r>
      <w:r w:rsidR="00A926FA">
        <w:rPr>
          <w:rStyle w:val="FootnoteReference"/>
          <w:rFonts w:cs="Segoe UI"/>
        </w:rPr>
        <w:footnoteReference w:id="42"/>
      </w:r>
      <w:r>
        <w:rPr>
          <w:rFonts w:cs="Segoe UI"/>
        </w:rPr>
        <w:t xml:space="preserve">; pumping stations with exceptionally high utilization rates above 85% typically have the strongest business case. As solar panels are usually purchased in standard sizes, and excess capacity provides flexibility and safety, such high utilization rates are not necessarily common. </w:t>
      </w:r>
    </w:p>
    <w:p w14:paraId="501DF4E5" w14:textId="64466918" w:rsidR="008010BB" w:rsidRDefault="008010BB" w:rsidP="008010BB">
      <w:pPr>
        <w:jc w:val="both"/>
        <w:rPr>
          <w:rFonts w:cs="Segoe UI"/>
        </w:rPr>
      </w:pPr>
      <w:r>
        <w:rPr>
          <w:rFonts w:cs="Segoe UI"/>
        </w:rPr>
        <w:t xml:space="preserve">Because there is great variability in the amount of land area irrigated by any one pump in ONAHA plots, we model business cases for a variety of different maximum land area covered by a single pump. For instance, if the maximum area covered by a single pump is 10 Ha, then a 100 Ha plot would require 10 such pumps. The results of this analysis are shown in </w:t>
      </w:r>
      <w:r>
        <w:rPr>
          <w:rFonts w:cs="Segoe UI"/>
        </w:rPr>
        <w:fldChar w:fldCharType="begin"/>
      </w:r>
      <w:r>
        <w:rPr>
          <w:rFonts w:cs="Segoe UI"/>
        </w:rPr>
        <w:instrText xml:space="preserve"> REF _Ref476815737 \h </w:instrText>
      </w:r>
      <w:r>
        <w:rPr>
          <w:rFonts w:cs="Segoe UI"/>
        </w:rPr>
      </w:r>
      <w:r>
        <w:rPr>
          <w:rFonts w:cs="Segoe UI"/>
        </w:rPr>
        <w:fldChar w:fldCharType="separate"/>
      </w:r>
      <w:r w:rsidR="000D1C35">
        <w:t xml:space="preserve">Table </w:t>
      </w:r>
      <w:r w:rsidR="000D1C35">
        <w:rPr>
          <w:noProof/>
        </w:rPr>
        <w:t>15</w:t>
      </w:r>
      <w:r>
        <w:rPr>
          <w:rFonts w:cs="Segoe UI"/>
        </w:rPr>
        <w:fldChar w:fldCharType="end"/>
      </w:r>
      <w:r>
        <w:rPr>
          <w:rFonts w:cs="Segoe UI"/>
        </w:rPr>
        <w:t xml:space="preserve">, and below we show the percentage of </w:t>
      </w:r>
      <w:r w:rsidR="00050409">
        <w:rPr>
          <w:rFonts w:cs="Segoe UI"/>
        </w:rPr>
        <w:t>total ONAHA surface area – ignoring the boundaries of AHA</w:t>
      </w:r>
      <w:r w:rsidR="00CA1923">
        <w:rPr>
          <w:rFonts w:cs="Segoe UI"/>
        </w:rPr>
        <w:t>s</w:t>
      </w:r>
      <w:r w:rsidR="00050409">
        <w:rPr>
          <w:rFonts w:cs="Segoe UI"/>
        </w:rPr>
        <w:t xml:space="preserve"> - </w:t>
      </w:r>
      <w:r>
        <w:rPr>
          <w:rFonts w:cs="Segoe UI"/>
        </w:rPr>
        <w:t xml:space="preserve">that achieves cost savings from switching from diesel generator to solar. </w:t>
      </w:r>
    </w:p>
    <w:p w14:paraId="2848C25F" w14:textId="760506C8" w:rsidR="008010BB" w:rsidRDefault="00306D79" w:rsidP="008010BB">
      <w:pPr>
        <w:jc w:val="both"/>
        <w:rPr>
          <w:rFonts w:cs="Segoe UI"/>
        </w:rPr>
      </w:pPr>
      <w:r>
        <w:rPr>
          <w:rFonts w:cs="Segoe UI"/>
        </w:rPr>
        <w:t>We see that</w:t>
      </w:r>
      <w:r w:rsidR="00323BC6">
        <w:rPr>
          <w:rFonts w:cs="Segoe UI"/>
        </w:rPr>
        <w:t>, for the five AHA</w:t>
      </w:r>
      <w:r w:rsidR="00CA1923">
        <w:rPr>
          <w:rFonts w:cs="Segoe UI"/>
        </w:rPr>
        <w:t>s</w:t>
      </w:r>
      <w:r w:rsidR="00323BC6">
        <w:rPr>
          <w:rFonts w:cs="Segoe UI"/>
        </w:rPr>
        <w:t xml:space="preserve"> displayed, </w:t>
      </w:r>
      <w:r w:rsidR="008010BB">
        <w:rPr>
          <w:rFonts w:cs="Segoe UI"/>
        </w:rPr>
        <w:t>there is a positive business case for solar as compared to using a generator for al</w:t>
      </w:r>
      <w:r w:rsidR="00323BC6">
        <w:rPr>
          <w:rFonts w:cs="Segoe UI"/>
        </w:rPr>
        <w:t>l pumping station sizes above 10</w:t>
      </w:r>
      <w:r w:rsidR="008010BB">
        <w:rPr>
          <w:rFonts w:cs="Segoe UI"/>
        </w:rPr>
        <w:t xml:space="preserve"> hectares. </w:t>
      </w:r>
      <w:r w:rsidR="00323BC6">
        <w:rPr>
          <w:rFonts w:cs="Segoe UI"/>
        </w:rPr>
        <w:t xml:space="preserve">Looking at the </w:t>
      </w:r>
      <w:r w:rsidR="00CA1923">
        <w:rPr>
          <w:rFonts w:cs="Segoe UI"/>
        </w:rPr>
        <w:t xml:space="preserve">percentage </w:t>
      </w:r>
      <w:r w:rsidR="00323BC6">
        <w:rPr>
          <w:rFonts w:cs="Segoe UI"/>
        </w:rPr>
        <w:t>of ONAHA surface area with solar cost savings reveals that from 25 Ha upwards, all AHA</w:t>
      </w:r>
      <w:r w:rsidR="00CA1923">
        <w:rPr>
          <w:rFonts w:cs="Segoe UI"/>
        </w:rPr>
        <w:t>s</w:t>
      </w:r>
      <w:r w:rsidR="00323BC6">
        <w:rPr>
          <w:rFonts w:cs="Segoe UI"/>
        </w:rPr>
        <w:t xml:space="preserve"> have positive business cases. </w:t>
      </w:r>
      <w:r w:rsidR="008010BB">
        <w:rPr>
          <w:rFonts w:cs="Segoe UI"/>
        </w:rPr>
        <w:t xml:space="preserve">If the maximum land area served by a pumping station is 5 hectares, then there is only a positive business case of switching from generator to solar for 18% of total ONAHA surface area, and 76% for 10 hectares service area. The </w:t>
      </w:r>
      <w:r w:rsidR="008010BB" w:rsidRPr="00744CEC">
        <w:rPr>
          <w:rFonts w:cs="Segoe UI"/>
        </w:rPr>
        <w:t>AHA</w:t>
      </w:r>
      <w:r w:rsidR="00CA1923">
        <w:rPr>
          <w:rFonts w:cs="Segoe UI"/>
        </w:rPr>
        <w:t>s</w:t>
      </w:r>
      <w:r w:rsidR="008010BB" w:rsidRPr="00744CEC">
        <w:rPr>
          <w:rFonts w:cs="Segoe UI"/>
        </w:rPr>
        <w:t xml:space="preserve"> </w:t>
      </w:r>
      <w:r w:rsidR="008010BB">
        <w:rPr>
          <w:rFonts w:cs="Segoe UI"/>
        </w:rPr>
        <w:t xml:space="preserve">for which switching from generator to solar is not cost efficient all </w:t>
      </w:r>
      <w:r w:rsidR="008010BB" w:rsidRPr="00744CEC">
        <w:rPr>
          <w:rFonts w:cs="Segoe UI"/>
        </w:rPr>
        <w:t>n</w:t>
      </w:r>
      <w:r w:rsidR="008010BB">
        <w:rPr>
          <w:rFonts w:cs="Segoe UI"/>
        </w:rPr>
        <w:t xml:space="preserve">eed </w:t>
      </w:r>
      <w:r w:rsidR="008010BB" w:rsidRPr="00744CEC">
        <w:rPr>
          <w:rFonts w:cs="Segoe UI"/>
        </w:rPr>
        <w:t xml:space="preserve">solar system sizes of </w:t>
      </w:r>
      <w:r w:rsidR="008010BB">
        <w:rPr>
          <w:rFonts w:cs="Segoe UI"/>
        </w:rPr>
        <w:t>2.9 kW to 4.9</w:t>
      </w:r>
      <w:r w:rsidR="008010BB" w:rsidRPr="00744CEC">
        <w:rPr>
          <w:rFonts w:cs="Segoe UI"/>
        </w:rPr>
        <w:t xml:space="preserve"> kW</w:t>
      </w:r>
      <w:r w:rsidR="006463E7">
        <w:rPr>
          <w:rFonts w:cs="Segoe UI"/>
        </w:rPr>
        <w:t xml:space="preserve">, </w:t>
      </w:r>
      <w:r w:rsidR="00323BC6">
        <w:rPr>
          <w:rFonts w:cs="Segoe UI"/>
        </w:rPr>
        <w:t xml:space="preserve">showing a range of </w:t>
      </w:r>
      <w:r w:rsidR="006463E7">
        <w:rPr>
          <w:rFonts w:cs="Segoe UI"/>
        </w:rPr>
        <w:t xml:space="preserve">smaller </w:t>
      </w:r>
      <w:r w:rsidR="00323BC6">
        <w:rPr>
          <w:rFonts w:cs="Segoe UI"/>
        </w:rPr>
        <w:t xml:space="preserve">system sizes where the high upfront cost of solar </w:t>
      </w:r>
      <w:r w:rsidR="006463E7">
        <w:rPr>
          <w:rFonts w:cs="Segoe UI"/>
        </w:rPr>
        <w:t xml:space="preserve">cannot be justified as compared to investment in a generator-powered pumping system. </w:t>
      </w:r>
      <w:r w:rsidR="008010BB">
        <w:rPr>
          <w:rFonts w:cs="Segoe UI"/>
        </w:rPr>
        <w:t xml:space="preserve"> </w:t>
      </w:r>
    </w:p>
    <w:p w14:paraId="2737CA74" w14:textId="0A556D70" w:rsidR="00B12DB9" w:rsidRDefault="008010BB" w:rsidP="008010BB">
      <w:pPr>
        <w:jc w:val="both"/>
        <w:rPr>
          <w:rFonts w:cs="Segoe UI"/>
        </w:rPr>
      </w:pPr>
      <w:r>
        <w:rPr>
          <w:rFonts w:cs="Segoe UI"/>
        </w:rPr>
        <w:t>The findings align well with insights gained during consultations in Niger that solar pumping is currently relatively expensive and unreliable (power variations lead to inconsistent water flows) as compared to alternative technologies, and that the only two viable market segments currently in Niger are smallholder farmers, and large scale pumping schemes.</w:t>
      </w:r>
    </w:p>
    <w:p w14:paraId="15BFC393" w14:textId="5CA9DEEC" w:rsidR="006C6C19" w:rsidRDefault="00E10331" w:rsidP="006C6C19">
      <w:pPr>
        <w:pStyle w:val="Caption"/>
        <w:jc w:val="both"/>
      </w:pPr>
      <w:bookmarkStart w:id="112" w:name="_Ref476815737"/>
      <w:bookmarkStart w:id="113" w:name="_Toc500969379"/>
      <w:r>
        <w:lastRenderedPageBreak/>
        <w:t>Tabl</w:t>
      </w:r>
      <w:r w:rsidR="006C6C19">
        <w:t xml:space="preserve">e </w:t>
      </w:r>
      <w:r w:rsidR="006C6C19">
        <w:fldChar w:fldCharType="begin"/>
      </w:r>
      <w:r w:rsidR="006C6C19">
        <w:instrText xml:space="preserve"> SEQ </w:instrText>
      </w:r>
      <w:r>
        <w:instrText>Table</w:instrText>
      </w:r>
      <w:r w:rsidR="006C6C19">
        <w:instrText xml:space="preserve"> \* ARABIC </w:instrText>
      </w:r>
      <w:r w:rsidR="006C6C19">
        <w:fldChar w:fldCharType="separate"/>
      </w:r>
      <w:r w:rsidR="000D1C35">
        <w:rPr>
          <w:noProof/>
        </w:rPr>
        <w:t>15</w:t>
      </w:r>
      <w:r w:rsidR="006C6C19">
        <w:fldChar w:fldCharType="end"/>
      </w:r>
      <w:bookmarkEnd w:id="112"/>
      <w:r w:rsidR="006C6C19">
        <w:t>: Effect of pumping station size on the business case</w:t>
      </w:r>
      <w:bookmarkEnd w:id="113"/>
    </w:p>
    <w:p w14:paraId="2E9EBF5A" w14:textId="6292BA3C" w:rsidR="00004778" w:rsidRDefault="005C0EFD" w:rsidP="0071172D">
      <w:pPr>
        <w:jc w:val="both"/>
        <w:rPr>
          <w:rFonts w:cs="Segoe UI"/>
        </w:rPr>
      </w:pPr>
      <w:r w:rsidRPr="005C0EFD">
        <w:rPr>
          <w:noProof/>
        </w:rPr>
        <w:drawing>
          <wp:inline distT="0" distB="0" distL="0" distR="0" wp14:anchorId="21F702DD" wp14:editId="3CFE1B9D">
            <wp:extent cx="4334256" cy="147218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4256" cy="1472184"/>
                    </a:xfrm>
                    <a:prstGeom prst="rect">
                      <a:avLst/>
                    </a:prstGeom>
                    <a:noFill/>
                    <a:ln>
                      <a:noFill/>
                    </a:ln>
                  </pic:spPr>
                </pic:pic>
              </a:graphicData>
            </a:graphic>
          </wp:inline>
        </w:drawing>
      </w:r>
    </w:p>
    <w:p w14:paraId="16465DB1" w14:textId="6EA88FD2" w:rsidR="00AA46C3" w:rsidRDefault="0071172D" w:rsidP="0071172D">
      <w:pPr>
        <w:jc w:val="both"/>
        <w:rPr>
          <w:rFonts w:cs="Segoe UI"/>
        </w:rPr>
      </w:pPr>
      <w:r>
        <w:rPr>
          <w:rFonts w:cs="Segoe UI"/>
        </w:rPr>
        <w:t>The business case analysis is purely focused on comparing alternatives for powering water pumps and does not take into consideration potential yield uplifts and other farm-level cost savings</w:t>
      </w:r>
      <w:r w:rsidR="00AA46C3">
        <w:rPr>
          <w:rFonts w:cs="Segoe UI"/>
        </w:rPr>
        <w:t xml:space="preserve"> from applying good irrigation practices</w:t>
      </w:r>
      <w:r>
        <w:rPr>
          <w:rFonts w:cs="Segoe UI"/>
        </w:rPr>
        <w:t>.</w:t>
      </w:r>
    </w:p>
    <w:p w14:paraId="38449D0C" w14:textId="35DCFA79" w:rsidR="004576C7" w:rsidRPr="00DB545A" w:rsidRDefault="004576C7" w:rsidP="00955049">
      <w:pPr>
        <w:pStyle w:val="H4NEWreportStyle"/>
      </w:pPr>
      <w:r w:rsidRPr="00DB545A">
        <w:t>Market size</w:t>
      </w:r>
    </w:p>
    <w:p w14:paraId="52472D63" w14:textId="49A896C8" w:rsidR="004576C7" w:rsidRPr="00DB545A" w:rsidRDefault="008F62A3" w:rsidP="005222E7">
      <w:pPr>
        <w:jc w:val="both"/>
        <w:rPr>
          <w:rFonts w:cs="Segoe UI"/>
        </w:rPr>
      </w:pPr>
      <w:r w:rsidRPr="00DB545A">
        <w:rPr>
          <w:rFonts w:cs="Segoe UI"/>
        </w:rPr>
        <w:fldChar w:fldCharType="begin"/>
      </w:r>
      <w:r w:rsidRPr="00DB545A">
        <w:rPr>
          <w:rFonts w:cs="Segoe UI"/>
        </w:rPr>
        <w:instrText xml:space="preserve"> REF _Ref469299374 \h </w:instrText>
      </w:r>
      <w:r w:rsidR="009626E8" w:rsidRPr="00DB545A">
        <w:rPr>
          <w:rFonts w:cs="Segoe UI"/>
        </w:rPr>
        <w:instrText xml:space="preserve"> \* MERGEFORMAT </w:instrText>
      </w:r>
      <w:r w:rsidRPr="00DB545A">
        <w:rPr>
          <w:rFonts w:cs="Segoe UI"/>
        </w:rPr>
      </w:r>
      <w:r w:rsidRPr="00DB545A">
        <w:rPr>
          <w:rFonts w:cs="Segoe UI"/>
        </w:rPr>
        <w:fldChar w:fldCharType="separate"/>
      </w:r>
      <w:r w:rsidR="000D1C35" w:rsidRPr="00DB545A">
        <w:t xml:space="preserve">Table </w:t>
      </w:r>
      <w:r w:rsidR="000D1C35">
        <w:rPr>
          <w:noProof/>
        </w:rPr>
        <w:t>16</w:t>
      </w:r>
      <w:r w:rsidRPr="00DB545A">
        <w:rPr>
          <w:rFonts w:cs="Segoe UI"/>
        </w:rPr>
        <w:fldChar w:fldCharType="end"/>
      </w:r>
      <w:r w:rsidRPr="00DB545A">
        <w:rPr>
          <w:rFonts w:cs="Segoe UI"/>
        </w:rPr>
        <w:t xml:space="preserve"> shows the viable market size for a range of different scenarios of land area covered per pump.  </w:t>
      </w:r>
      <w:r w:rsidR="00D11CE1" w:rsidRPr="00DB545A">
        <w:t>The annualized market size, assuming pumping stations service a maximum land area of 25 hectares, is estimated at around US $1.2 million (representing around 10.3 pumping stations being equipped per year, at an average selling price per system of around US $116,000). The average solar system size for one pumping station is around 22 kW, but sizes have high variability due to different crop types and water sources (ranging from around 6 kW to nearly 120 kW).</w:t>
      </w:r>
      <w:r w:rsidR="005222E7" w:rsidRPr="00DB545A">
        <w:rPr>
          <w:rFonts w:cs="Segoe UI"/>
        </w:rPr>
        <w:t xml:space="preserve"> </w:t>
      </w:r>
      <w:r w:rsidR="00E40F6A" w:rsidRPr="00DB545A">
        <w:rPr>
          <w:rFonts w:cs="Segoe UI"/>
        </w:rPr>
        <w:t xml:space="preserve"> </w:t>
      </w:r>
    </w:p>
    <w:p w14:paraId="507A7B26" w14:textId="4695419E" w:rsidR="00DF3FBF" w:rsidRPr="00DB545A" w:rsidRDefault="00DF3FBF" w:rsidP="0099462C">
      <w:pPr>
        <w:pStyle w:val="Caption"/>
      </w:pPr>
      <w:bookmarkStart w:id="114" w:name="_Ref469299374"/>
      <w:bookmarkStart w:id="115" w:name="_Toc500969380"/>
      <w:r w:rsidRPr="00DB545A">
        <w:t xml:space="preserve">Table </w:t>
      </w:r>
      <w:fldSimple w:instr=" SEQ Table \* ARABIC ">
        <w:r w:rsidR="000D1C35">
          <w:rPr>
            <w:noProof/>
          </w:rPr>
          <w:t>16</w:t>
        </w:r>
      </w:fldSimple>
      <w:bookmarkEnd w:id="114"/>
      <w:r w:rsidRPr="00DB545A">
        <w:t xml:space="preserve">: </w:t>
      </w:r>
      <w:r w:rsidR="00535A3B" w:rsidRPr="00DB545A">
        <w:t xml:space="preserve">Different scenarios to present potential annualized market </w:t>
      </w:r>
      <w:r w:rsidR="00155857" w:rsidRPr="00DB545A">
        <w:t>size</w:t>
      </w:r>
      <w:r w:rsidR="00FA6F01" w:rsidRPr="00DB545A">
        <w:rPr>
          <w:rStyle w:val="FootnoteReference"/>
        </w:rPr>
        <w:footnoteReference w:id="43"/>
      </w:r>
      <w:bookmarkEnd w:id="115"/>
    </w:p>
    <w:p w14:paraId="6E952EC3" w14:textId="27BB486F" w:rsidR="00DA2593" w:rsidRPr="00DB545A" w:rsidRDefault="00331D13" w:rsidP="009769AD">
      <w:pPr>
        <w:rPr>
          <w:rFonts w:cs="Segoe UI"/>
        </w:rPr>
      </w:pPr>
      <w:r w:rsidRPr="00DB545A">
        <w:rPr>
          <w:noProof/>
        </w:rPr>
        <w:drawing>
          <wp:inline distT="0" distB="0" distL="0" distR="0" wp14:anchorId="4FFBE4FB" wp14:editId="15DE7299">
            <wp:extent cx="5943600" cy="89439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94394"/>
                    </a:xfrm>
                    <a:prstGeom prst="rect">
                      <a:avLst/>
                    </a:prstGeom>
                    <a:noFill/>
                    <a:ln>
                      <a:noFill/>
                    </a:ln>
                  </pic:spPr>
                </pic:pic>
              </a:graphicData>
            </a:graphic>
          </wp:inline>
        </w:drawing>
      </w:r>
    </w:p>
    <w:p w14:paraId="32C90B87" w14:textId="34F59952" w:rsidR="005222E7" w:rsidRDefault="005222E7" w:rsidP="005222E7">
      <w:pPr>
        <w:jc w:val="both"/>
      </w:pPr>
      <w:r w:rsidRPr="00DB545A">
        <w:t xml:space="preserve">We calculate the annualized market </w:t>
      </w:r>
      <w:r w:rsidRPr="00DB545A">
        <w:rPr>
          <w:i/>
        </w:rPr>
        <w:t>only</w:t>
      </w:r>
      <w:r w:rsidRPr="00DB545A">
        <w:t xml:space="preserve"> for pumping stations for which there is a positive business case for switching to solar</w:t>
      </w:r>
      <w:r w:rsidR="00B33115" w:rsidRPr="00DB545A">
        <w:t xml:space="preserve">; </w:t>
      </w:r>
      <w:r w:rsidR="00331D13" w:rsidRPr="00DB545A">
        <w:t>while around 70% of the surface are</w:t>
      </w:r>
      <w:r w:rsidR="00D11CE1" w:rsidRPr="00DB545A">
        <w:t>a</w:t>
      </w:r>
      <w:r w:rsidR="00331D13" w:rsidRPr="00DB545A">
        <w:t xml:space="preserve"> is served by grid power, </w:t>
      </w:r>
      <w:r w:rsidR="00B33115" w:rsidRPr="00DB545A">
        <w:rPr>
          <w:rFonts w:cs="Segoe UI"/>
        </w:rPr>
        <w:t>generators are considered the only viable alternative</w:t>
      </w:r>
      <w:r w:rsidR="00D11CE1" w:rsidRPr="00DB545A">
        <w:rPr>
          <w:rFonts w:cs="Segoe UI"/>
        </w:rPr>
        <w:t xml:space="preserve"> to solar</w:t>
      </w:r>
      <w:r w:rsidR="00B33115" w:rsidRPr="00DB545A">
        <w:rPr>
          <w:rFonts w:cs="Segoe UI"/>
        </w:rPr>
        <w:t xml:space="preserve"> for off-grid areas</w:t>
      </w:r>
      <w:r w:rsidRPr="00DB545A">
        <w:t xml:space="preserve">. </w:t>
      </w:r>
      <w:r w:rsidRPr="00DB545A">
        <w:rPr>
          <w:b/>
        </w:rPr>
        <w:t xml:space="preserve">Note that the market size displayed in </w:t>
      </w:r>
      <w:r w:rsidRPr="00DB545A">
        <w:rPr>
          <w:b/>
        </w:rPr>
        <w:fldChar w:fldCharType="begin"/>
      </w:r>
      <w:r w:rsidRPr="00DB545A">
        <w:rPr>
          <w:b/>
        </w:rPr>
        <w:instrText xml:space="preserve"> REF _Ref469299374 \h  \* MERGEFORMAT </w:instrText>
      </w:r>
      <w:r w:rsidRPr="00DB545A">
        <w:rPr>
          <w:b/>
        </w:rPr>
      </w:r>
      <w:r w:rsidRPr="00DB545A">
        <w:rPr>
          <w:b/>
        </w:rPr>
        <w:fldChar w:fldCharType="separate"/>
      </w:r>
      <w:r w:rsidR="000D1C35" w:rsidRPr="000D1C35">
        <w:rPr>
          <w:b/>
        </w:rPr>
        <w:t xml:space="preserve">Table </w:t>
      </w:r>
      <w:r w:rsidR="000D1C35" w:rsidRPr="000D1C35">
        <w:rPr>
          <w:b/>
          <w:noProof/>
        </w:rPr>
        <w:t>16</w:t>
      </w:r>
      <w:r w:rsidRPr="00DB545A">
        <w:rPr>
          <w:b/>
        </w:rPr>
        <w:fldChar w:fldCharType="end"/>
      </w:r>
      <w:r w:rsidRPr="00DB545A">
        <w:rPr>
          <w:b/>
        </w:rPr>
        <w:t xml:space="preserve"> does not consider affordability,</w:t>
      </w:r>
      <w:r w:rsidR="00D11CE1" w:rsidRPr="00DB545A">
        <w:rPr>
          <w:b/>
        </w:rPr>
        <w:t xml:space="preserve"> </w:t>
      </w:r>
      <w:r w:rsidRPr="00DB545A">
        <w:rPr>
          <w:b/>
        </w:rPr>
        <w:t>or what magnitude and type of financing mechanisms would need to be introduced to unlock this full market potential.</w:t>
      </w:r>
      <w:r w:rsidR="00D11CE1" w:rsidRPr="00DB545A">
        <w:rPr>
          <w:b/>
        </w:rPr>
        <w:t xml:space="preserve"> </w:t>
      </w:r>
      <w:r w:rsidR="00D11CE1" w:rsidRPr="00DB545A">
        <w:t xml:space="preserve">In addition, </w:t>
      </w:r>
      <w:r w:rsidR="00D11CE1" w:rsidRPr="00DB545A">
        <w:rPr>
          <w:rFonts w:cs="Segoe UI"/>
        </w:rPr>
        <w:t>further analysis at the individual loca</w:t>
      </w:r>
      <w:r w:rsidR="00DC4202">
        <w:rPr>
          <w:rFonts w:cs="Segoe UI"/>
        </w:rPr>
        <w:t xml:space="preserve">lities </w:t>
      </w:r>
      <w:r w:rsidR="00D11CE1" w:rsidRPr="00DB545A">
        <w:rPr>
          <w:rFonts w:cs="Segoe UI"/>
        </w:rPr>
        <w:t>will be required to evaluate if constructing and managing solar production facilities at the sites is a feasible opportunity.</w:t>
      </w:r>
      <w:r>
        <w:t xml:space="preserve"> </w:t>
      </w:r>
    </w:p>
    <w:p w14:paraId="2FC2F17A" w14:textId="064DCCEB" w:rsidR="00906CD8" w:rsidRPr="001E27DE" w:rsidRDefault="007B12B3" w:rsidP="00486E22">
      <w:pPr>
        <w:jc w:val="both"/>
        <w:rPr>
          <w:rFonts w:cs="Segoe UI"/>
        </w:rPr>
      </w:pPr>
      <w:r w:rsidRPr="002055A5">
        <w:rPr>
          <w:rFonts w:cs="Segoe UI"/>
        </w:rPr>
        <w:t xml:space="preserve">This market sizing assumes all irrigation in the areas will be done with solar pumps and does not take into consideration any existing installed </w:t>
      </w:r>
      <w:r w:rsidR="00825021">
        <w:rPr>
          <w:rFonts w:cs="Segoe UI"/>
        </w:rPr>
        <w:t xml:space="preserve">water pumps, whether </w:t>
      </w:r>
      <w:r w:rsidRPr="002055A5">
        <w:rPr>
          <w:rFonts w:cs="Segoe UI"/>
        </w:rPr>
        <w:t>fuel powered</w:t>
      </w:r>
      <w:bookmarkStart w:id="116" w:name="_Ref469244390"/>
      <w:r w:rsidR="001E27DE">
        <w:rPr>
          <w:rFonts w:cs="Segoe UI"/>
        </w:rPr>
        <w:t xml:space="preserve"> or manual. </w:t>
      </w:r>
    </w:p>
    <w:p w14:paraId="7CAAF872" w14:textId="7610A65F" w:rsidR="00906CD8" w:rsidRDefault="00906CD8" w:rsidP="001C46F8">
      <w:pPr>
        <w:pStyle w:val="H3NEWreportStyle"/>
        <w:numPr>
          <w:ilvl w:val="2"/>
          <w:numId w:val="42"/>
        </w:numPr>
        <w:spacing w:before="360"/>
      </w:pPr>
      <w:bookmarkStart w:id="117" w:name="_Toc501097040"/>
      <w:r>
        <w:lastRenderedPageBreak/>
        <w:t>Small scale, individual irrigation schemes</w:t>
      </w:r>
      <w:bookmarkEnd w:id="117"/>
    </w:p>
    <w:p w14:paraId="26EFC102" w14:textId="6C9975CC" w:rsidR="00906CD8" w:rsidRDefault="008F62A3" w:rsidP="006D77B6">
      <w:pPr>
        <w:jc w:val="both"/>
      </w:pPr>
      <w:r>
        <w:t>Total irrigated agricultural land area in Niger is estimated at 135,314 hectares</w:t>
      </w:r>
      <w:r>
        <w:rPr>
          <w:rStyle w:val="FootnoteReference"/>
        </w:rPr>
        <w:footnoteReference w:id="44"/>
      </w:r>
      <w:r>
        <w:t>. Of this land area, only around 17,000 hectares (~ 12%)</w:t>
      </w:r>
      <w:r>
        <w:rPr>
          <w:rStyle w:val="FootnoteReference"/>
        </w:rPr>
        <w:footnoteReference w:id="45"/>
      </w:r>
      <w:r>
        <w:t xml:space="preserve"> are part of ONAHA. The remainder is cultivated by independent smallholder and commercial farmers. Currently, irrigation is performed manually, or through generator powered pumping systems, suggesting a potential opportunity for solar-powered water pumping. In addition, irrigated land area in Niger is expected to expand considerably in the medium to long term. For instance, research from FAO indicates that the potential for irrigated land in the short to medium term is around 270,000 hectares</w:t>
      </w:r>
      <w:r>
        <w:rPr>
          <w:rStyle w:val="FootnoteReference"/>
        </w:rPr>
        <w:footnoteReference w:id="46"/>
      </w:r>
      <w:r>
        <w:t>(that is, almost double what is currently under irrigation).</w:t>
      </w:r>
      <w:r w:rsidR="006D77B6">
        <w:t xml:space="preserve">  </w:t>
      </w:r>
    </w:p>
    <w:p w14:paraId="7D9ECCF7" w14:textId="3CA577D4" w:rsidR="00950DB7" w:rsidRDefault="00906CD8" w:rsidP="00906CD8">
      <w:pPr>
        <w:jc w:val="both"/>
        <w:rPr>
          <w:rFonts w:cs="Segoe UI"/>
        </w:rPr>
      </w:pPr>
      <w:r>
        <w:rPr>
          <w:rFonts w:cs="Segoe UI"/>
        </w:rPr>
        <w:t>We analyze the irrigation water requirements in Niger as the basis for power requirements at the farm level</w:t>
      </w:r>
      <w:r w:rsidR="00550E19">
        <w:rPr>
          <w:rFonts w:cs="Segoe UI"/>
        </w:rPr>
        <w:t xml:space="preserve"> (see Appendix B.3</w:t>
      </w:r>
      <w:r w:rsidR="00027CB2">
        <w:rPr>
          <w:rFonts w:cs="Segoe UI"/>
        </w:rPr>
        <w:t>.2 for further details)</w:t>
      </w:r>
      <w:r>
        <w:rPr>
          <w:rFonts w:cs="Segoe UI"/>
        </w:rPr>
        <w:t>; for the purpose of this analysis, c</w:t>
      </w:r>
      <w:r w:rsidRPr="002055A5">
        <w:rPr>
          <w:rFonts w:cs="Segoe UI"/>
        </w:rPr>
        <w:t xml:space="preserve">ommunity-level boreholes </w:t>
      </w:r>
      <w:r>
        <w:rPr>
          <w:rFonts w:cs="Segoe UI"/>
        </w:rPr>
        <w:t xml:space="preserve">and livestock-related water needs are </w:t>
      </w:r>
      <w:r w:rsidRPr="002055A5">
        <w:rPr>
          <w:rFonts w:cs="Segoe UI"/>
        </w:rPr>
        <w:t>considered separately</w:t>
      </w:r>
      <w:r w:rsidR="008C702D">
        <w:rPr>
          <w:rFonts w:cs="Segoe UI"/>
        </w:rPr>
        <w:t xml:space="preserve"> later in the market sizing for water providers</w:t>
      </w:r>
      <w:r w:rsidR="00950DB7">
        <w:rPr>
          <w:rFonts w:cs="Segoe UI"/>
        </w:rPr>
        <w:t>.</w:t>
      </w:r>
      <w:r w:rsidR="008118F2">
        <w:rPr>
          <w:rFonts w:cs="Segoe UI"/>
        </w:rPr>
        <w:t xml:space="preserve"> We differentiate </w:t>
      </w:r>
      <w:r w:rsidR="00027CB2">
        <w:rPr>
          <w:rFonts w:cs="Segoe UI"/>
        </w:rPr>
        <w:t xml:space="preserve">five different farm sizes, and identify suitable water pumping solutions for each farm size. </w:t>
      </w:r>
    </w:p>
    <w:p w14:paraId="1639A1F0" w14:textId="39AA26C4" w:rsidR="00B923B2" w:rsidRDefault="00D30713" w:rsidP="00906CD8">
      <w:pPr>
        <w:jc w:val="both"/>
        <w:rPr>
          <w:rFonts w:cs="Segoe UI"/>
        </w:rPr>
      </w:pPr>
      <w:r>
        <w:rPr>
          <w:rFonts w:cs="Segoe UI"/>
        </w:rPr>
        <w:t xml:space="preserve">In </w:t>
      </w:r>
      <w:r>
        <w:rPr>
          <w:rFonts w:cs="Segoe UI"/>
        </w:rPr>
        <w:fldChar w:fldCharType="begin"/>
      </w:r>
      <w:r>
        <w:rPr>
          <w:rFonts w:cs="Segoe UI"/>
        </w:rPr>
        <w:instrText xml:space="preserve"> REF _Ref476816985 \h </w:instrText>
      </w:r>
      <w:r>
        <w:rPr>
          <w:rFonts w:cs="Segoe UI"/>
        </w:rPr>
      </w:r>
      <w:r>
        <w:rPr>
          <w:rFonts w:cs="Segoe UI"/>
        </w:rPr>
        <w:fldChar w:fldCharType="separate"/>
      </w:r>
      <w:r w:rsidR="000D1C35">
        <w:t xml:space="preserve">Table </w:t>
      </w:r>
      <w:r w:rsidR="000D1C35">
        <w:rPr>
          <w:noProof/>
        </w:rPr>
        <w:t>17</w:t>
      </w:r>
      <w:r>
        <w:rPr>
          <w:rFonts w:cs="Segoe UI"/>
        </w:rPr>
        <w:fldChar w:fldCharType="end"/>
      </w:r>
      <w:r w:rsidR="00D8347E" w:rsidRPr="00D8347E">
        <w:rPr>
          <w:rFonts w:cs="Segoe UI"/>
        </w:rPr>
        <w:t xml:space="preserve">, we provide an overview of the water needs, irrigation power needs, electricity consumption, and solar system sizes for the different farm sizes and for different water sources. We see that there is a market opportunity for small </w:t>
      </w:r>
      <w:r w:rsidR="006B2049">
        <w:rPr>
          <w:rFonts w:cs="Segoe UI"/>
        </w:rPr>
        <w:t>solar</w:t>
      </w:r>
      <w:r w:rsidR="00D8347E" w:rsidRPr="00D8347E">
        <w:rPr>
          <w:rFonts w:cs="Segoe UI"/>
        </w:rPr>
        <w:t xml:space="preserve"> pumping kits to serve ‘Micro smallholder farmers’ (regardless of water source), and ‘Smallholder farmers’ (pumping from rive</w:t>
      </w:r>
      <w:r w:rsidR="001B64D4">
        <w:rPr>
          <w:rFonts w:cs="Segoe UI"/>
        </w:rPr>
        <w:t>rs, dams and shallow boreholes), as these provide sufficient pumping capacity for pumping size requirements up to 120 W.</w:t>
      </w:r>
      <w:r w:rsidR="00D8347E" w:rsidRPr="00D8347E">
        <w:rPr>
          <w:rFonts w:cs="Segoe UI"/>
        </w:rPr>
        <w:t xml:space="preserve">    </w:t>
      </w:r>
      <w:r w:rsidR="00FE27F4">
        <w:rPr>
          <w:rFonts w:cs="Segoe UI"/>
        </w:rPr>
        <w:t xml:space="preserve"> </w:t>
      </w:r>
      <w:r w:rsidR="00D60AFA">
        <w:rPr>
          <w:rFonts w:cs="Segoe UI"/>
        </w:rPr>
        <w:t xml:space="preserve">  </w:t>
      </w:r>
    </w:p>
    <w:p w14:paraId="1AD1B716" w14:textId="5261D294" w:rsidR="00D60AFA" w:rsidRDefault="00D60AFA" w:rsidP="00D60AFA">
      <w:pPr>
        <w:pStyle w:val="Caption"/>
        <w:jc w:val="both"/>
      </w:pPr>
      <w:bookmarkStart w:id="118" w:name="_Ref476816985"/>
      <w:bookmarkStart w:id="119" w:name="_Toc500969381"/>
      <w:r>
        <w:t xml:space="preserve">Table </w:t>
      </w:r>
      <w:fldSimple w:instr=" SEQ Table \* ARABIC ">
        <w:r w:rsidR="000D1C35">
          <w:rPr>
            <w:noProof/>
          </w:rPr>
          <w:t>17</w:t>
        </w:r>
      </w:fldSimple>
      <w:bookmarkEnd w:id="118"/>
      <w:r>
        <w:t>: Overview of water and power needs of different farm sizes and water sources</w:t>
      </w:r>
      <w:bookmarkEnd w:id="119"/>
    </w:p>
    <w:p w14:paraId="43FDE5A9" w14:textId="33F2E952" w:rsidR="00D60AFA" w:rsidRDefault="00FE27F4" w:rsidP="00906CD8">
      <w:pPr>
        <w:jc w:val="both"/>
        <w:rPr>
          <w:rFonts w:cs="Segoe UI"/>
        </w:rPr>
      </w:pPr>
      <w:r w:rsidRPr="00FE27F4">
        <w:rPr>
          <w:noProof/>
        </w:rPr>
        <w:drawing>
          <wp:inline distT="0" distB="0" distL="0" distR="0" wp14:anchorId="78E2E032" wp14:editId="1F4AABA5">
            <wp:extent cx="5943600" cy="26298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629885"/>
                    </a:xfrm>
                    <a:prstGeom prst="rect">
                      <a:avLst/>
                    </a:prstGeom>
                    <a:noFill/>
                    <a:ln>
                      <a:noFill/>
                    </a:ln>
                  </pic:spPr>
                </pic:pic>
              </a:graphicData>
            </a:graphic>
          </wp:inline>
        </w:drawing>
      </w:r>
    </w:p>
    <w:p w14:paraId="262600BD" w14:textId="44FEC3D1" w:rsidR="00906CD8" w:rsidRDefault="00F43C59" w:rsidP="00906CD8">
      <w:pPr>
        <w:jc w:val="both"/>
        <w:rPr>
          <w:rFonts w:cs="Segoe UI"/>
        </w:rPr>
      </w:pPr>
      <w:r>
        <w:rPr>
          <w:rFonts w:cs="Segoe UI"/>
        </w:rPr>
        <w:lastRenderedPageBreak/>
        <w:t xml:space="preserve">Solar system sizes range from around 14 W to around 7.2 kW with increasing farm size and water pumping requirements. </w:t>
      </w:r>
      <w:r w:rsidR="00027CB2">
        <w:rPr>
          <w:rFonts w:cs="Segoe UI"/>
        </w:rPr>
        <w:t>In our analysis, w</w:t>
      </w:r>
      <w:r>
        <w:rPr>
          <w:rFonts w:cs="Segoe UI"/>
        </w:rPr>
        <w:t>e have included two solar pumping kits</w:t>
      </w:r>
      <w:r w:rsidR="006B2049">
        <w:rPr>
          <w:rStyle w:val="FootnoteReference"/>
          <w:rFonts w:cs="Segoe UI"/>
        </w:rPr>
        <w:footnoteReference w:id="47"/>
      </w:r>
      <w:r>
        <w:rPr>
          <w:rFonts w:cs="Segoe UI"/>
        </w:rPr>
        <w:t xml:space="preserve"> as options for small-scale farming, </w:t>
      </w:r>
      <w:r w:rsidR="00CA1923">
        <w:rPr>
          <w:rFonts w:cs="Segoe UI"/>
        </w:rPr>
        <w:t xml:space="preserve">one </w:t>
      </w:r>
      <w:r>
        <w:rPr>
          <w:rFonts w:cs="Segoe UI"/>
        </w:rPr>
        <w:t>at a price of US $650, and a fictional micropump at a price of US $400. Consultations have revealed that small micropumps in that price level are currently being tested in Kenya and other African markets. The other options are component solutions offering a combination of conventional water pumps for agriculture and solar systems. The solar systems include solar panels, battery, inverter</w:t>
      </w:r>
      <w:r w:rsidR="00CA1923">
        <w:rPr>
          <w:rFonts w:cs="Segoe UI"/>
        </w:rPr>
        <w:t>,</w:t>
      </w:r>
      <w:r>
        <w:rPr>
          <w:rFonts w:cs="Segoe UI"/>
        </w:rPr>
        <w:t xml:space="preserve"> and the required cables. </w:t>
      </w:r>
      <w:r w:rsidR="00906CD8">
        <w:rPr>
          <w:rFonts w:cs="Segoe UI"/>
        </w:rPr>
        <w:t xml:space="preserve"> </w:t>
      </w:r>
    </w:p>
    <w:p w14:paraId="5657107E" w14:textId="04852565" w:rsidR="00027CB2" w:rsidRDefault="00F43C59" w:rsidP="00F43C59">
      <w:pPr>
        <w:jc w:val="both"/>
      </w:pPr>
      <w:r>
        <w:t>Further analysis was performed to assess how affordability would impact the market size for smallholder farmers; this analysis followed the same approach as the analysis for</w:t>
      </w:r>
      <w:r w:rsidR="00027CB2">
        <w:t xml:space="preserve"> private households in section 4</w:t>
      </w:r>
      <w:r>
        <w:t>.1</w:t>
      </w:r>
      <w:r w:rsidR="00550E19">
        <w:t>; see Appendix B.3</w:t>
      </w:r>
      <w:r w:rsidR="00027CB2">
        <w:t xml:space="preserve">.2 for further details. </w:t>
      </w:r>
    </w:p>
    <w:p w14:paraId="25886297" w14:textId="77777777" w:rsidR="00906CD8" w:rsidRPr="00D9459A" w:rsidRDefault="00906CD8" w:rsidP="00906CD8">
      <w:pPr>
        <w:pStyle w:val="H4NEWreportStyle"/>
      </w:pPr>
      <w:r w:rsidRPr="00D9459A">
        <w:t>Business case</w:t>
      </w:r>
    </w:p>
    <w:p w14:paraId="1DCE410B" w14:textId="540B0BFD" w:rsidR="00F43C59" w:rsidRDefault="00F43C59" w:rsidP="00F43C59">
      <w:pPr>
        <w:jc w:val="both"/>
        <w:rPr>
          <w:rFonts w:cs="Segoe UI"/>
        </w:rPr>
      </w:pPr>
      <w:r>
        <w:rPr>
          <w:rFonts w:cs="Segoe UI"/>
        </w:rPr>
        <w:t>C</w:t>
      </w:r>
      <w:r w:rsidRPr="008A07CB">
        <w:rPr>
          <w:rFonts w:cs="Segoe UI"/>
        </w:rPr>
        <w:t xml:space="preserve">omparing the cost of solar-powered with generator-powered </w:t>
      </w:r>
      <w:r>
        <w:rPr>
          <w:rFonts w:cs="Segoe UI"/>
        </w:rPr>
        <w:t xml:space="preserve">pumping </w:t>
      </w:r>
      <w:r w:rsidRPr="008A07CB">
        <w:rPr>
          <w:rFonts w:cs="Segoe UI"/>
        </w:rPr>
        <w:t xml:space="preserve">systems, we find that there is a business case </w:t>
      </w:r>
      <w:r>
        <w:rPr>
          <w:rFonts w:cs="Segoe UI"/>
        </w:rPr>
        <w:t>across all farm sizes and all water sources. In contrast, r</w:t>
      </w:r>
      <w:r w:rsidRPr="008A07CB">
        <w:rPr>
          <w:rFonts w:cs="Segoe UI"/>
        </w:rPr>
        <w:t>egardless of land area</w:t>
      </w:r>
      <w:r>
        <w:rPr>
          <w:rFonts w:cs="Segoe UI"/>
        </w:rPr>
        <w:t xml:space="preserve"> or water source</w:t>
      </w:r>
      <w:r w:rsidRPr="008A07CB">
        <w:rPr>
          <w:rFonts w:cs="Segoe UI"/>
        </w:rPr>
        <w:t>, the solar systems do not provide a cost-effective alternative for those with grid access</w:t>
      </w:r>
      <w:r>
        <w:rPr>
          <w:rFonts w:cs="Segoe UI"/>
        </w:rPr>
        <w:t xml:space="preserve">. The higher upfront investment for solar relative to generators is rapidly amortized through cost savings on diesel. </w:t>
      </w:r>
      <w:r>
        <w:rPr>
          <w:rFonts w:cs="Segoe UI"/>
        </w:rPr>
        <w:fldChar w:fldCharType="begin"/>
      </w:r>
      <w:r>
        <w:rPr>
          <w:rFonts w:cs="Segoe UI"/>
        </w:rPr>
        <w:instrText xml:space="preserve"> REF _Ref476818466 \h </w:instrText>
      </w:r>
      <w:r>
        <w:rPr>
          <w:rFonts w:cs="Segoe UI"/>
        </w:rPr>
      </w:r>
      <w:r>
        <w:rPr>
          <w:rFonts w:cs="Segoe UI"/>
        </w:rPr>
        <w:fldChar w:fldCharType="separate"/>
      </w:r>
      <w:r w:rsidR="000D1C35">
        <w:t xml:space="preserve">Table </w:t>
      </w:r>
      <w:r w:rsidR="000D1C35">
        <w:rPr>
          <w:noProof/>
        </w:rPr>
        <w:t>18</w:t>
      </w:r>
      <w:r>
        <w:rPr>
          <w:rFonts w:cs="Segoe UI"/>
        </w:rPr>
        <w:fldChar w:fldCharType="end"/>
      </w:r>
      <w:r>
        <w:rPr>
          <w:rFonts w:cs="Segoe UI"/>
        </w:rPr>
        <w:t xml:space="preserve"> provides an overview of annualized costs for generator- and solar-powered pumping systems for different farm sizes and water sources, as well as the annualized costs savings from using solar. </w:t>
      </w:r>
    </w:p>
    <w:p w14:paraId="4C2957A6" w14:textId="1B67C3B4" w:rsidR="005431BB" w:rsidRDefault="006B6844" w:rsidP="00F43C59">
      <w:pPr>
        <w:jc w:val="both"/>
        <w:rPr>
          <w:rFonts w:cs="Segoe UI"/>
        </w:rPr>
      </w:pPr>
      <w:r>
        <w:rPr>
          <w:rFonts w:cs="Segoe UI"/>
        </w:rPr>
        <w:t xml:space="preserve">The analysis reveals an exciting opportunity for solar pumping kits; the solar micropump is well suited for the irrigation needs of micro smallholder farmers </w:t>
      </w:r>
      <w:r w:rsidR="00F43C59">
        <w:rPr>
          <w:rFonts w:cs="Segoe UI"/>
        </w:rPr>
        <w:t>access</w:t>
      </w:r>
      <w:r>
        <w:rPr>
          <w:rFonts w:cs="Segoe UI"/>
        </w:rPr>
        <w:t>ing</w:t>
      </w:r>
      <w:r w:rsidR="00F43C59">
        <w:rPr>
          <w:rFonts w:cs="Segoe UI"/>
        </w:rPr>
        <w:t xml:space="preserve"> water from nearby rivers or dams</w:t>
      </w:r>
      <w:r>
        <w:rPr>
          <w:rFonts w:cs="Segoe UI"/>
        </w:rPr>
        <w:t xml:space="preserve">. </w:t>
      </w:r>
      <w:r w:rsidR="00F43C59">
        <w:rPr>
          <w:rFonts w:cs="Segoe UI"/>
        </w:rPr>
        <w:t xml:space="preserve">The </w:t>
      </w:r>
      <w:r>
        <w:rPr>
          <w:rFonts w:cs="Segoe UI"/>
        </w:rPr>
        <w:t>s</w:t>
      </w:r>
      <w:r w:rsidR="00F43C59">
        <w:rPr>
          <w:rFonts w:cs="Segoe UI"/>
        </w:rPr>
        <w:t>olar micropump sets are available at the market price of US $400, and have a life expectancy of 6 years, which results in an annualized cost of US $67. This compares with a lifetime cost (over 6 years) of around US $580 for a generator-powered system; this breaks down into an upfront investment of US $300 (US $200 for the pump, and US $100 for a cheap, short life generator), US$ 200 to replace the generator every two years</w:t>
      </w:r>
      <w:r w:rsidR="00F43C59">
        <w:rPr>
          <w:rStyle w:val="FootnoteReference"/>
          <w:rFonts w:cs="Segoe UI"/>
        </w:rPr>
        <w:footnoteReference w:id="48"/>
      </w:r>
      <w:r w:rsidR="00F43C59">
        <w:rPr>
          <w:rFonts w:cs="Segoe UI"/>
        </w:rPr>
        <w:t>, and an additional annual cost of around US$ 13 for diesel. The</w:t>
      </w:r>
      <w:r w:rsidR="00AA46BA">
        <w:rPr>
          <w:rFonts w:cs="Segoe UI"/>
        </w:rPr>
        <w:t xml:space="preserve"> US $650</w:t>
      </w:r>
      <w:r w:rsidR="00F43C59">
        <w:rPr>
          <w:rFonts w:cs="Segoe UI"/>
        </w:rPr>
        <w:t xml:space="preserve"> </w:t>
      </w:r>
      <w:r w:rsidR="00692EC7">
        <w:rPr>
          <w:rFonts w:cs="Segoe UI"/>
        </w:rPr>
        <w:t>pump we looked at</w:t>
      </w:r>
      <w:r w:rsidR="00F43C59">
        <w:rPr>
          <w:rFonts w:cs="Segoe UI"/>
        </w:rPr>
        <w:t xml:space="preserve"> meets slightly higher water pumping needs, specifically those of micro smallholder farms pumping water from boreholes, as well as smallholder farms pumping water either from rivers, dams or shallow boreholes. </w:t>
      </w:r>
      <w:r w:rsidR="00561350">
        <w:rPr>
          <w:rFonts w:cs="Segoe UI"/>
        </w:rPr>
        <w:t xml:space="preserve"> </w:t>
      </w:r>
      <w:r w:rsidR="00974F37">
        <w:rPr>
          <w:rFonts w:cs="Segoe UI"/>
        </w:rPr>
        <w:t xml:space="preserve"> </w:t>
      </w:r>
    </w:p>
    <w:p w14:paraId="773904AF" w14:textId="2FECB7AA" w:rsidR="00906CD8" w:rsidRDefault="00906CD8" w:rsidP="00906CD8">
      <w:pPr>
        <w:pStyle w:val="Caption"/>
      </w:pPr>
      <w:bookmarkStart w:id="120" w:name="_Ref476818466"/>
      <w:bookmarkStart w:id="121" w:name="_Toc500969382"/>
      <w:r>
        <w:lastRenderedPageBreak/>
        <w:t xml:space="preserve">Table </w:t>
      </w:r>
      <w:fldSimple w:instr=" SEQ Table \* ARABIC ">
        <w:r w:rsidR="000D1C35">
          <w:rPr>
            <w:noProof/>
          </w:rPr>
          <w:t>18</w:t>
        </w:r>
      </w:fldSimple>
      <w:bookmarkEnd w:id="120"/>
      <w:r>
        <w:t>: Annualized cost savings from switching to solar-powered water pumps for irrigation</w:t>
      </w:r>
      <w:bookmarkEnd w:id="121"/>
    </w:p>
    <w:p w14:paraId="6175B425" w14:textId="36D54C01" w:rsidR="00906CD8" w:rsidRDefault="00201032" w:rsidP="00906CD8">
      <w:pPr>
        <w:rPr>
          <w:rFonts w:cs="Segoe UI"/>
        </w:rPr>
      </w:pPr>
      <w:r w:rsidRPr="00201032">
        <w:rPr>
          <w:noProof/>
        </w:rPr>
        <w:drawing>
          <wp:inline distT="0" distB="0" distL="0" distR="0" wp14:anchorId="58D97110" wp14:editId="6109FB40">
            <wp:extent cx="5943600" cy="431679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316796"/>
                    </a:xfrm>
                    <a:prstGeom prst="rect">
                      <a:avLst/>
                    </a:prstGeom>
                    <a:noFill/>
                    <a:ln>
                      <a:noFill/>
                    </a:ln>
                  </pic:spPr>
                </pic:pic>
              </a:graphicData>
            </a:graphic>
          </wp:inline>
        </w:drawing>
      </w:r>
    </w:p>
    <w:p w14:paraId="428688BB" w14:textId="7FEB2A31" w:rsidR="00D665E5" w:rsidRDefault="00906CD8" w:rsidP="00906CD8">
      <w:pPr>
        <w:jc w:val="both"/>
        <w:rPr>
          <w:rFonts w:cs="Segoe UI"/>
        </w:rPr>
      </w:pPr>
      <w:r>
        <w:rPr>
          <w:rFonts w:cs="Segoe UI"/>
        </w:rPr>
        <w:t xml:space="preserve">The business case analysis is purely focused on comparing </w:t>
      </w:r>
      <w:r w:rsidR="00607AF1">
        <w:rPr>
          <w:rFonts w:cs="Segoe UI"/>
        </w:rPr>
        <w:t>solar-</w:t>
      </w:r>
      <w:r w:rsidR="008E4288">
        <w:rPr>
          <w:rFonts w:cs="Segoe UI"/>
        </w:rPr>
        <w:t xml:space="preserve">powered water pumps with alternative power sources, </w:t>
      </w:r>
      <w:r w:rsidR="00607AF1">
        <w:rPr>
          <w:rFonts w:cs="Segoe UI"/>
        </w:rPr>
        <w:t xml:space="preserve">and </w:t>
      </w:r>
      <w:r>
        <w:rPr>
          <w:rFonts w:cs="Segoe UI"/>
        </w:rPr>
        <w:t>does not take into consideration potential yield uplifts and other farm-level cost savings from appl</w:t>
      </w:r>
      <w:r w:rsidR="008E4288">
        <w:rPr>
          <w:rFonts w:cs="Segoe UI"/>
        </w:rPr>
        <w:t>ying good irrigation practices.</w:t>
      </w:r>
    </w:p>
    <w:p w14:paraId="661ABDE8" w14:textId="7C293CD9" w:rsidR="00906CD8" w:rsidRPr="00950804" w:rsidRDefault="00906CD8" w:rsidP="00906CD8">
      <w:pPr>
        <w:pStyle w:val="H4NEWreportStyle"/>
      </w:pPr>
      <w:r>
        <w:t>Market size</w:t>
      </w:r>
    </w:p>
    <w:p w14:paraId="0523A44C" w14:textId="09CFB6B6" w:rsidR="009C7B33" w:rsidRDefault="00694384" w:rsidP="00CA6F3C">
      <w:pPr>
        <w:jc w:val="both"/>
        <w:rPr>
          <w:rFonts w:cs="Segoe UI"/>
        </w:rPr>
      </w:pPr>
      <w:r>
        <w:t xml:space="preserve">To estimate the market size, we take a </w:t>
      </w:r>
      <w:r w:rsidR="009C7B33">
        <w:t>two-phased</w:t>
      </w:r>
      <w:r w:rsidR="00CA6F3C">
        <w:t xml:space="preserve"> approach: </w:t>
      </w:r>
      <w:r>
        <w:t xml:space="preserve">first we estimate the market size based on irrigated land area and the existence of a business case as compared to using diesel-generators, and then – specifically for </w:t>
      </w:r>
      <w:r w:rsidR="00DC5961">
        <w:t xml:space="preserve">smallholder and small commercial farms </w:t>
      </w:r>
      <w:r>
        <w:t>– we perform additional affordability analysis.</w:t>
      </w:r>
      <w:r w:rsidR="001927B6">
        <w:t xml:space="preserve"> </w:t>
      </w:r>
      <w:r w:rsidR="00413B68">
        <w:t>In absence of data, w</w:t>
      </w:r>
      <w:r w:rsidR="00AD751A">
        <w:t xml:space="preserve">e assume </w:t>
      </w:r>
      <w:r w:rsidR="00633D20">
        <w:t>that all farms are off-grid</w:t>
      </w:r>
      <w:r w:rsidR="00413B68" w:rsidRPr="00CA6F3C">
        <w:rPr>
          <w:vertAlign w:val="superscript"/>
        </w:rPr>
        <w:footnoteReference w:id="49"/>
      </w:r>
      <w:r w:rsidR="00633D20">
        <w:t xml:space="preserve">, as </w:t>
      </w:r>
      <w:r w:rsidR="0075180B">
        <w:t xml:space="preserve">especially </w:t>
      </w:r>
      <w:r w:rsidR="00633D20">
        <w:t>small commercial farming activities are typ</w:t>
      </w:r>
      <w:r w:rsidR="00F61D50">
        <w:t>ically performed in rural areas, and t</w:t>
      </w:r>
      <w:r w:rsidR="00633D20">
        <w:t>hat the only</w:t>
      </w:r>
      <w:r w:rsidR="00F61D50">
        <w:t xml:space="preserve"> </w:t>
      </w:r>
      <w:r w:rsidR="00633D20">
        <w:t>option</w:t>
      </w:r>
      <w:r w:rsidR="00202F04">
        <w:t xml:space="preserve"> </w:t>
      </w:r>
      <w:r w:rsidR="00633D20">
        <w:t>to solar technology are solar generators. Further we have broken the number of farms down by water source as shown in</w:t>
      </w:r>
      <w:r w:rsidR="006402C5">
        <w:t xml:space="preserve"> the </w:t>
      </w:r>
      <w:r w:rsidR="00633D20">
        <w:rPr>
          <w:rFonts w:cs="Segoe UI"/>
        </w:rPr>
        <w:t xml:space="preserve">methodology </w:t>
      </w:r>
      <w:r w:rsidR="006402C5">
        <w:rPr>
          <w:rFonts w:cs="Segoe UI"/>
        </w:rPr>
        <w:t xml:space="preserve">(Appendix B.3.2). </w:t>
      </w:r>
      <w:r w:rsidR="009C7B33">
        <w:rPr>
          <w:rFonts w:cs="Segoe UI"/>
        </w:rPr>
        <w:t xml:space="preserve"> </w:t>
      </w:r>
    </w:p>
    <w:p w14:paraId="00F0206F" w14:textId="57774964" w:rsidR="00B2739A" w:rsidRDefault="00B2739A" w:rsidP="00CA6F3C">
      <w:pPr>
        <w:jc w:val="both"/>
      </w:pPr>
      <w:r w:rsidRPr="00B2739A">
        <w:t xml:space="preserve">While smallholder farmers have cost benefits from </w:t>
      </w:r>
      <w:r w:rsidR="00C64BDD">
        <w:t xml:space="preserve">solar pumping </w:t>
      </w:r>
      <w:r w:rsidR="00C943E1">
        <w:t>kits as compared to</w:t>
      </w:r>
      <w:r w:rsidRPr="00B2739A">
        <w:t xml:space="preserve"> generators, consultations and focus groups have revealed that most smallholder farmers manually irrigate their farms</w:t>
      </w:r>
      <w:r w:rsidR="00C64BDD">
        <w:t xml:space="preserve">. </w:t>
      </w:r>
      <w:r w:rsidR="007C565D">
        <w:lastRenderedPageBreak/>
        <w:t xml:space="preserve">Our affordability analysis reveals that, without consumer financing options, the one-off payment for over-the-counter purchases exceeds farming households’ average ability-to-pay, even of the highest earning deciles. Consequently, consumer financing schemes will be </w:t>
      </w:r>
      <w:r w:rsidR="001927B6">
        <w:t>essential to unlock the market;</w:t>
      </w:r>
      <w:r w:rsidR="007C565D">
        <w:t xml:space="preserve"> but serving smallholders comes with significant challenges: They </w:t>
      </w:r>
      <w:r w:rsidRPr="00B2739A">
        <w:t>are hard to access and service, and their low-income levels combined with limited access to suitable financial services limit the market. Financial services are frequently only available to farmers in formal, structured value chains, and most farmers in Niger, especially smallholder farmers, serve informal markets.</w:t>
      </w:r>
    </w:p>
    <w:p w14:paraId="45B27450" w14:textId="22591212" w:rsidR="004E185A" w:rsidRDefault="004E185A" w:rsidP="00CA6F3C">
      <w:pPr>
        <w:jc w:val="both"/>
      </w:pPr>
      <w:r>
        <w:t>The market size determined by combining both approaches assumes that medium to large commercial farms have sufficient cashflows or have access to financial service</w:t>
      </w:r>
      <w:r w:rsidR="00692EC7">
        <w:t>s</w:t>
      </w:r>
      <w:r>
        <w:t xml:space="preserve"> to be able to afford the high upfront investment of solar pumping systems. In contrast, for smallholder farmers, and small commercial farms, the market for solar pumping systems is capped by affordability constraints</w:t>
      </w:r>
      <w:r w:rsidR="002C5AF7">
        <w:t xml:space="preserve">. </w:t>
      </w:r>
      <w:r>
        <w:t>Overall, assuming there is a business case for irrigation on farm level (e.g. through an increase in number of harvests per year, general yield uplifts, cost savings etc.) and if suitable financing mechanisms are available to smallholder farmers and commercial farms, the market size derived appears a reasonable estimation of the potential for solar water pumping in Niger.</w:t>
      </w:r>
    </w:p>
    <w:p w14:paraId="7B5E5D60" w14:textId="1709640A" w:rsidR="009C7B33" w:rsidRDefault="009C7B33" w:rsidP="00E45231">
      <w:pPr>
        <w:jc w:val="both"/>
      </w:pPr>
      <w:r>
        <w:t xml:space="preserve">We again base our market sizing on the annualized market </w:t>
      </w:r>
      <w:r>
        <w:rPr>
          <w:i/>
        </w:rPr>
        <w:t>only</w:t>
      </w:r>
      <w:r>
        <w:t xml:space="preserve"> for farms for which there is a positive business case for switching to solar; as shown in the Business Case section, this is the case for all farms across all regions, sizes, and water sources.  </w:t>
      </w:r>
      <w:r w:rsidRPr="00FA4878">
        <w:rPr>
          <w:b/>
        </w:rPr>
        <w:t xml:space="preserve">Note that the market size </w:t>
      </w:r>
      <w:r w:rsidRPr="002F0ED5">
        <w:rPr>
          <w:b/>
        </w:rPr>
        <w:t xml:space="preserve">displayed in </w:t>
      </w:r>
      <w:r w:rsidR="00CA6F3C" w:rsidRPr="00CA6F3C">
        <w:rPr>
          <w:b/>
        </w:rPr>
        <w:fldChar w:fldCharType="begin"/>
      </w:r>
      <w:r w:rsidR="00CA6F3C" w:rsidRPr="00CA6F3C">
        <w:rPr>
          <w:b/>
        </w:rPr>
        <w:instrText xml:space="preserve"> REF _Ref476835454 \h  \* MERGEFORMAT </w:instrText>
      </w:r>
      <w:r w:rsidR="00CA6F3C" w:rsidRPr="00CA6F3C">
        <w:rPr>
          <w:b/>
        </w:rPr>
      </w:r>
      <w:r w:rsidR="00CA6F3C" w:rsidRPr="00CA6F3C">
        <w:rPr>
          <w:b/>
        </w:rPr>
        <w:fldChar w:fldCharType="separate"/>
      </w:r>
      <w:r w:rsidR="000D1C35" w:rsidRPr="000D1C35">
        <w:rPr>
          <w:b/>
        </w:rPr>
        <w:t xml:space="preserve">Table </w:t>
      </w:r>
      <w:r w:rsidR="000D1C35" w:rsidRPr="000D1C35">
        <w:rPr>
          <w:b/>
          <w:noProof/>
        </w:rPr>
        <w:t>19</w:t>
      </w:r>
      <w:r w:rsidR="00CA6F3C" w:rsidRPr="00CA6F3C">
        <w:rPr>
          <w:b/>
        </w:rPr>
        <w:fldChar w:fldCharType="end"/>
      </w:r>
      <w:r w:rsidR="00CA6F3C" w:rsidRPr="00CA6F3C">
        <w:rPr>
          <w:b/>
        </w:rPr>
        <w:t xml:space="preserve"> </w:t>
      </w:r>
      <w:r w:rsidRPr="00CA6F3C">
        <w:rPr>
          <w:b/>
        </w:rPr>
        <w:t>does not consider what magnitude and type of financing mechanisms would need</w:t>
      </w:r>
      <w:r w:rsidRPr="00FA4878">
        <w:rPr>
          <w:b/>
        </w:rPr>
        <w:t xml:space="preserve"> to be introduced to unlock this full market potential.</w:t>
      </w:r>
      <w:r>
        <w:t xml:space="preserve"> </w:t>
      </w:r>
      <w:r w:rsidR="00D96BC1">
        <w:t xml:space="preserve">As shown in </w:t>
      </w:r>
      <w:r w:rsidR="00D96BC1">
        <w:fldChar w:fldCharType="begin"/>
      </w:r>
      <w:r w:rsidR="00D96BC1">
        <w:instrText xml:space="preserve"> REF _Ref476835454 \h </w:instrText>
      </w:r>
      <w:r w:rsidR="00CA6F3C">
        <w:instrText xml:space="preserve"> \* MERGEFORMAT </w:instrText>
      </w:r>
      <w:r w:rsidR="00D96BC1">
        <w:fldChar w:fldCharType="separate"/>
      </w:r>
      <w:r w:rsidR="000D1C35">
        <w:t xml:space="preserve">Table </w:t>
      </w:r>
      <w:r w:rsidR="000D1C35">
        <w:rPr>
          <w:noProof/>
        </w:rPr>
        <w:t>19</w:t>
      </w:r>
      <w:r w:rsidR="00D96BC1">
        <w:fldChar w:fldCharType="end"/>
      </w:r>
      <w:r w:rsidR="00D96BC1">
        <w:t>, t</w:t>
      </w:r>
      <w:r>
        <w:t xml:space="preserve">he annualized market size </w:t>
      </w:r>
      <w:r w:rsidR="00D96BC1">
        <w:t>for solar water pumping technology in the market f</w:t>
      </w:r>
      <w:r>
        <w:t xml:space="preserve">or small scale, individual irrigation </w:t>
      </w:r>
      <w:r w:rsidR="00D96BC1">
        <w:t xml:space="preserve">systems </w:t>
      </w:r>
      <w:r>
        <w:t>is estimated to be around US</w:t>
      </w:r>
      <w:r w:rsidR="00D96BC1">
        <w:t xml:space="preserve"> $33</w:t>
      </w:r>
      <w:r>
        <w:t xml:space="preserve"> million, representing an annual sales volume of</w:t>
      </w:r>
      <w:r w:rsidR="00D96BC1">
        <w:t xml:space="preserve"> around 50</w:t>
      </w:r>
      <w:r w:rsidR="003367E0">
        <w:t xml:space="preserve">,000 units. </w:t>
      </w:r>
    </w:p>
    <w:p w14:paraId="0ED0717E" w14:textId="0E201580" w:rsidR="00267C45" w:rsidRDefault="00267C45" w:rsidP="00267C45">
      <w:pPr>
        <w:pStyle w:val="Caption"/>
        <w:jc w:val="both"/>
      </w:pPr>
      <w:bookmarkStart w:id="122" w:name="_Ref476835454"/>
      <w:bookmarkStart w:id="123" w:name="_Toc500969383"/>
      <w:r>
        <w:t xml:space="preserve">Table </w:t>
      </w:r>
      <w:fldSimple w:instr=" SEQ Table \* ARABIC ">
        <w:r w:rsidR="000D1C35">
          <w:rPr>
            <w:noProof/>
          </w:rPr>
          <w:t>19</w:t>
        </w:r>
      </w:fldSimple>
      <w:bookmarkEnd w:id="122"/>
      <w:r>
        <w:t xml:space="preserve">: </w:t>
      </w:r>
      <w:r w:rsidRPr="00267C45">
        <w:t>Total market size in annualized sales volume and revenues after affordability considerations</w:t>
      </w:r>
      <w:bookmarkEnd w:id="123"/>
    </w:p>
    <w:p w14:paraId="585B9B37" w14:textId="26902127" w:rsidR="00267C45" w:rsidRDefault="002B547D" w:rsidP="00E45231">
      <w:pPr>
        <w:jc w:val="both"/>
      </w:pPr>
      <w:r w:rsidRPr="002B547D">
        <w:rPr>
          <w:noProof/>
        </w:rPr>
        <w:drawing>
          <wp:inline distT="0" distB="0" distL="0" distR="0" wp14:anchorId="3A33F377" wp14:editId="68235F5E">
            <wp:extent cx="5943600" cy="240293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02934"/>
                    </a:xfrm>
                    <a:prstGeom prst="rect">
                      <a:avLst/>
                    </a:prstGeom>
                    <a:noFill/>
                    <a:ln>
                      <a:noFill/>
                    </a:ln>
                  </pic:spPr>
                </pic:pic>
              </a:graphicData>
            </a:graphic>
          </wp:inline>
        </w:drawing>
      </w:r>
    </w:p>
    <w:p w14:paraId="30719DB9" w14:textId="6F3A5DA5" w:rsidR="009C7B33" w:rsidRDefault="009C7B33" w:rsidP="009C7B33">
      <w:pPr>
        <w:jc w:val="both"/>
        <w:rPr>
          <w:rFonts w:cs="Segoe UI"/>
        </w:rPr>
      </w:pPr>
      <w:r>
        <w:rPr>
          <w:rFonts w:cs="Segoe UI"/>
        </w:rPr>
        <w:t xml:space="preserve">The market sizing further reveals, that there is potentially an exciting opportunity to serve micro smallholder farms and smallholder farms with integrated solar water pumping kits; these integrated kits represent around </w:t>
      </w:r>
      <w:r w:rsidR="00F73683">
        <w:rPr>
          <w:rFonts w:cs="Segoe UI"/>
        </w:rPr>
        <w:t>88% of the annual market (or 99</w:t>
      </w:r>
      <w:r>
        <w:rPr>
          <w:rFonts w:cs="Segoe UI"/>
        </w:rPr>
        <w:t xml:space="preserve">% of annual sales volume). </w:t>
      </w:r>
      <w:r w:rsidRPr="002055A5">
        <w:rPr>
          <w:rFonts w:cs="Segoe UI"/>
        </w:rPr>
        <w:t xml:space="preserve">This market sizing assumes </w:t>
      </w:r>
      <w:r w:rsidRPr="002055A5">
        <w:rPr>
          <w:rFonts w:cs="Segoe UI"/>
        </w:rPr>
        <w:lastRenderedPageBreak/>
        <w:t xml:space="preserve">all irrigation in the areas will be done with solar pumps and does not take into consideration any existing installed </w:t>
      </w:r>
      <w:r>
        <w:rPr>
          <w:rFonts w:cs="Segoe UI"/>
        </w:rPr>
        <w:t xml:space="preserve">water pumps, whether </w:t>
      </w:r>
      <w:r w:rsidRPr="002055A5">
        <w:rPr>
          <w:rFonts w:cs="Segoe UI"/>
        </w:rPr>
        <w:t>fuel powered</w:t>
      </w:r>
      <w:r>
        <w:rPr>
          <w:rFonts w:cs="Segoe UI"/>
        </w:rPr>
        <w:t xml:space="preserve"> or manual. </w:t>
      </w:r>
    </w:p>
    <w:p w14:paraId="11BC9229" w14:textId="08A200D5" w:rsidR="009C7B33" w:rsidRDefault="009C7B33" w:rsidP="009C7B33">
      <w:pPr>
        <w:jc w:val="both"/>
        <w:rPr>
          <w:rFonts w:cs="Segoe UI"/>
        </w:rPr>
      </w:pPr>
      <w:r>
        <w:rPr>
          <w:rFonts w:cs="Segoe UI"/>
        </w:rPr>
        <w:t>We performed the same market sizing analysis for the irrigated land potential of 253,329 hectares (that is 270,000 less ONAHA, with ONAHA land area being held constant).</w:t>
      </w:r>
      <w:r w:rsidR="00DC6D74">
        <w:rPr>
          <w:rFonts w:cs="Segoe UI"/>
        </w:rPr>
        <w:t xml:space="preserve"> Our analysis reveals that unless the increase</w:t>
      </w:r>
      <w:r w:rsidR="0054488C">
        <w:rPr>
          <w:rFonts w:cs="Segoe UI"/>
        </w:rPr>
        <w:t xml:space="preserve"> in irrigated land area translates directly into increasing income levels, the expansion of irrigated land area only has minor impact of around +5% on overall market size. If affordability is excluded from the analysis, expansion of irrigated land area has the potential to increase the annualized market up to around US $ 115</w:t>
      </w:r>
      <w:r>
        <w:rPr>
          <w:rFonts w:cs="Segoe UI"/>
        </w:rPr>
        <w:t xml:space="preserve"> million (from the sale of 182,000 units p.a.); thereof US $98 million (~ 85%) is generated from the sale of solar pumping kits.</w:t>
      </w:r>
    </w:p>
    <w:p w14:paraId="27D0CFBA" w14:textId="41F0094D" w:rsidR="00B82F34" w:rsidRPr="00955049" w:rsidRDefault="00F64180" w:rsidP="00955049">
      <w:pPr>
        <w:pStyle w:val="H2NEWreportStyle"/>
      </w:pPr>
      <w:bookmarkStart w:id="124" w:name="_Toc501097041"/>
      <w:r w:rsidRPr="00955049">
        <w:t>Crop processing</w:t>
      </w:r>
      <w:bookmarkEnd w:id="124"/>
    </w:p>
    <w:p w14:paraId="688DE950" w14:textId="2FA76942" w:rsidR="00F344FD" w:rsidRDefault="00FD27C3" w:rsidP="00F344FD">
      <w:pPr>
        <w:jc w:val="both"/>
      </w:pPr>
      <w:r w:rsidRPr="00FD27C3">
        <w:t>Along with irrigation, crop processing presents an additional opportunity for sales of solar powered systems in agriculture. The mills that process crops are typically run by small entrepreneurs, or are communally owned. Crop processing volumes are often small, depending on the availability of crop supplies, transportation infrastructure (to provide for purchases of supplies and sale of processed crops), and demand from the surrounding populations.</w:t>
      </w:r>
    </w:p>
    <w:p w14:paraId="5E52CB52" w14:textId="7C1D32DF" w:rsidR="00790383" w:rsidRDefault="00C253F1" w:rsidP="00AF59EF">
      <w:pPr>
        <w:jc w:val="both"/>
      </w:pPr>
      <w:r w:rsidRPr="00C253F1">
        <w:t xml:space="preserve">We evaluate the business case for solar power for milling and estimate the market </w:t>
      </w:r>
      <w:r w:rsidR="00AF59EF" w:rsidRPr="00C253F1">
        <w:t xml:space="preserve">size </w:t>
      </w:r>
      <w:r w:rsidR="00AF59EF">
        <w:t>based on 2014 annual production volumes for the major crops in Niger, and apply international average power requirements for milling crops. We assess the business case for three different mill sizes, and, i</w:t>
      </w:r>
      <w:r w:rsidR="007416FF">
        <w:t xml:space="preserve">n absence of market breakdown data, present </w:t>
      </w:r>
      <w:r w:rsidR="00AF59EF">
        <w:t xml:space="preserve">the market size for </w:t>
      </w:r>
      <w:r w:rsidR="007416FF">
        <w:t>two scenarios:</w:t>
      </w:r>
    </w:p>
    <w:p w14:paraId="59DC1438" w14:textId="77777777" w:rsidR="00790383" w:rsidRDefault="00790383" w:rsidP="006A7E1D">
      <w:pPr>
        <w:pStyle w:val="ListParagraph"/>
        <w:numPr>
          <w:ilvl w:val="1"/>
          <w:numId w:val="12"/>
        </w:numPr>
        <w:jc w:val="both"/>
      </w:pPr>
      <w:r w:rsidRPr="000B3377">
        <w:rPr>
          <w:b/>
        </w:rPr>
        <w:t>Scenario I</w:t>
      </w:r>
      <w:r w:rsidRPr="000B3377">
        <w:t xml:space="preserve"> assumes</w:t>
      </w:r>
      <w:r>
        <w:t xml:space="preserve"> that 100% of milling for the main crops is performed by small village-level mills.</w:t>
      </w:r>
    </w:p>
    <w:p w14:paraId="1401EF8A" w14:textId="0135F869" w:rsidR="0054010D" w:rsidRDefault="00790383" w:rsidP="006A7E1D">
      <w:pPr>
        <w:pStyle w:val="ListParagraph"/>
        <w:numPr>
          <w:ilvl w:val="1"/>
          <w:numId w:val="12"/>
        </w:numPr>
        <w:jc w:val="both"/>
      </w:pPr>
      <w:r w:rsidRPr="000B3377">
        <w:rPr>
          <w:b/>
        </w:rPr>
        <w:t>Scenario II</w:t>
      </w:r>
      <w:r>
        <w:t xml:space="preserve"> assumes a breakdown characteristic of many African countries; </w:t>
      </w:r>
      <w:r w:rsidR="006D3E0C">
        <w:t xml:space="preserve">60% of total </w:t>
      </w:r>
      <w:r w:rsidR="0054010D">
        <w:t xml:space="preserve">crop milling </w:t>
      </w:r>
      <w:r w:rsidR="006D3E0C">
        <w:t>volume is processed in small village-level mills, 35% by medium-sized mills, and 5% by large</w:t>
      </w:r>
      <w:r w:rsidR="0054010D">
        <w:t xml:space="preserve"> mills.</w:t>
      </w:r>
      <w:r w:rsidR="008602EC">
        <w:rPr>
          <w:rStyle w:val="FootnoteReference"/>
        </w:rPr>
        <w:footnoteReference w:id="50"/>
      </w:r>
      <w:r w:rsidR="0054010D">
        <w:t xml:space="preserve"> </w:t>
      </w:r>
    </w:p>
    <w:p w14:paraId="2B652285" w14:textId="73850EC0" w:rsidR="00AF59EF" w:rsidRDefault="00AF59EF" w:rsidP="00621555">
      <w:pPr>
        <w:pStyle w:val="Normal15"/>
        <w:jc w:val="both"/>
        <w:rPr>
          <w:rFonts w:ascii="Segoe UI" w:hAnsi="Segoe UI"/>
        </w:rPr>
      </w:pPr>
      <w:r>
        <w:rPr>
          <w:rFonts w:ascii="Segoe UI" w:hAnsi="Segoe UI"/>
        </w:rPr>
        <w:t>Further information on the methodo</w:t>
      </w:r>
      <w:r w:rsidR="00550E19">
        <w:rPr>
          <w:rFonts w:ascii="Segoe UI" w:hAnsi="Segoe UI"/>
        </w:rPr>
        <w:t>logy is provided in Appendix B.4</w:t>
      </w:r>
      <w:r>
        <w:rPr>
          <w:rFonts w:ascii="Segoe UI" w:hAnsi="Segoe UI"/>
        </w:rPr>
        <w:t xml:space="preserve">. </w:t>
      </w:r>
    </w:p>
    <w:p w14:paraId="6BBA3A16" w14:textId="0886792D" w:rsidR="00F0359A" w:rsidRPr="002C2B4A" w:rsidRDefault="00F0359A" w:rsidP="00F0359A">
      <w:pPr>
        <w:pStyle w:val="H4NEWreportStyle"/>
      </w:pPr>
      <w:r>
        <w:t>Business case</w:t>
      </w:r>
    </w:p>
    <w:p w14:paraId="77E021EE" w14:textId="7DE874ED" w:rsidR="00941D85" w:rsidRDefault="00D66EA3" w:rsidP="00621555">
      <w:pPr>
        <w:pStyle w:val="Normal15"/>
        <w:jc w:val="both"/>
        <w:rPr>
          <w:rFonts w:ascii="Segoe UI" w:hAnsi="Segoe UI"/>
        </w:rPr>
      </w:pPr>
      <w:r w:rsidRPr="00D66EA3">
        <w:rPr>
          <w:rFonts w:ascii="Segoe UI" w:hAnsi="Segoe UI"/>
        </w:rPr>
        <w:t xml:space="preserve">In </w:t>
      </w:r>
      <w:r w:rsidRPr="00D66EA3">
        <w:rPr>
          <w:rFonts w:ascii="Segoe UI" w:hAnsi="Segoe UI"/>
        </w:rPr>
        <w:fldChar w:fldCharType="begin"/>
      </w:r>
      <w:r w:rsidRPr="00D66EA3">
        <w:rPr>
          <w:rFonts w:ascii="Segoe UI" w:hAnsi="Segoe UI"/>
        </w:rPr>
        <w:instrText xml:space="preserve"> REF _Ref477246883 \h  \* MERGEFORMAT </w:instrText>
      </w:r>
      <w:r w:rsidRPr="00D66EA3">
        <w:rPr>
          <w:rFonts w:ascii="Segoe UI" w:hAnsi="Segoe UI"/>
        </w:rPr>
      </w:r>
      <w:r w:rsidRPr="00D66EA3">
        <w:rPr>
          <w:rFonts w:ascii="Segoe UI" w:hAnsi="Segoe UI"/>
        </w:rPr>
        <w:fldChar w:fldCharType="separate"/>
      </w:r>
      <w:r w:rsidR="000D1C35" w:rsidRPr="000D1C35">
        <w:rPr>
          <w:rFonts w:ascii="Segoe UI" w:hAnsi="Segoe UI"/>
        </w:rPr>
        <w:t>Table 20</w:t>
      </w:r>
      <w:r w:rsidRPr="00D66EA3">
        <w:rPr>
          <w:rFonts w:ascii="Segoe UI" w:hAnsi="Segoe UI"/>
        </w:rPr>
        <w:fldChar w:fldCharType="end"/>
      </w:r>
      <w:r w:rsidRPr="00D66EA3">
        <w:rPr>
          <w:rFonts w:ascii="Segoe UI" w:hAnsi="Segoe UI"/>
        </w:rPr>
        <w:t>, we present the results from the business case analysis for crop processing in Niger, showing the annualized costs of different power sources, as well as the respective cost savings from switching to solar. We see that for all three mill sizes there is a business case to use solar power rather than diesel generators; in contrast, for mills connected to the grid, there is no business case to switch from grid to solar.</w:t>
      </w:r>
    </w:p>
    <w:p w14:paraId="17143860" w14:textId="1EAD8825" w:rsidR="00F559DF" w:rsidRDefault="00F559DF" w:rsidP="00F559DF">
      <w:pPr>
        <w:pStyle w:val="Caption"/>
        <w:jc w:val="both"/>
      </w:pPr>
      <w:bookmarkStart w:id="125" w:name="_Ref477246883"/>
      <w:bookmarkStart w:id="126" w:name="_Toc500969384"/>
      <w:r>
        <w:lastRenderedPageBreak/>
        <w:t xml:space="preserve">Table </w:t>
      </w:r>
      <w:fldSimple w:instr=" SEQ Table \* ARABIC ">
        <w:r w:rsidR="000D1C35">
          <w:rPr>
            <w:noProof/>
          </w:rPr>
          <w:t>20</w:t>
        </w:r>
      </w:fldSimple>
      <w:bookmarkEnd w:id="125"/>
      <w:r>
        <w:t xml:space="preserve">: </w:t>
      </w:r>
      <w:r w:rsidR="006D562E">
        <w:t>Annualized costs and cost savings from solar for different mill sizes</w:t>
      </w:r>
      <w:bookmarkEnd w:id="126"/>
    </w:p>
    <w:p w14:paraId="14D9E0E5" w14:textId="360AE587" w:rsidR="00F559DF" w:rsidRDefault="00D27C80" w:rsidP="00621555">
      <w:pPr>
        <w:pStyle w:val="Normal15"/>
        <w:jc w:val="both"/>
        <w:rPr>
          <w:rFonts w:ascii="Segoe UI" w:hAnsi="Segoe UI"/>
        </w:rPr>
      </w:pPr>
      <w:r w:rsidRPr="00D27C80">
        <w:rPr>
          <w:noProof/>
        </w:rPr>
        <w:drawing>
          <wp:inline distT="0" distB="0" distL="0" distR="0" wp14:anchorId="4D7CD37C" wp14:editId="7C34039D">
            <wp:extent cx="4361688" cy="1545336"/>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1688" cy="1545336"/>
                    </a:xfrm>
                    <a:prstGeom prst="rect">
                      <a:avLst/>
                    </a:prstGeom>
                    <a:noFill/>
                    <a:ln>
                      <a:noFill/>
                    </a:ln>
                  </pic:spPr>
                </pic:pic>
              </a:graphicData>
            </a:graphic>
          </wp:inline>
        </w:drawing>
      </w:r>
    </w:p>
    <w:p w14:paraId="30838354" w14:textId="637F3BF1" w:rsidR="00F0359A" w:rsidRDefault="00941D85" w:rsidP="00621555">
      <w:pPr>
        <w:pStyle w:val="Normal15"/>
        <w:jc w:val="both"/>
        <w:rPr>
          <w:rFonts w:ascii="Segoe UI" w:hAnsi="Segoe UI"/>
        </w:rPr>
      </w:pPr>
      <w:r>
        <w:rPr>
          <w:rFonts w:ascii="Segoe UI" w:hAnsi="Segoe UI"/>
        </w:rPr>
        <w:t>Across the three mill sizes, the annualized cost benefit from exchanging the generator for solar is estimated to be between 42% to 45% of energy costs, and thereby represents a significant opportunity for mills to reduce operating costs.</w:t>
      </w:r>
    </w:p>
    <w:p w14:paraId="30A19A5A" w14:textId="2066AD1F" w:rsidR="00F64180" w:rsidRPr="002C2B4A" w:rsidRDefault="00C973DC" w:rsidP="00955049">
      <w:pPr>
        <w:pStyle w:val="H4NEWreportStyle"/>
      </w:pPr>
      <w:r w:rsidRPr="002C2B4A">
        <w:t>Market size</w:t>
      </w:r>
    </w:p>
    <w:p w14:paraId="7F2155B2" w14:textId="08656F57" w:rsidR="002C2B4A" w:rsidRDefault="00D66EA3" w:rsidP="00D66EA3">
      <w:pPr>
        <w:jc w:val="both"/>
      </w:pPr>
      <w:r>
        <w:fldChar w:fldCharType="begin"/>
      </w:r>
      <w:r>
        <w:instrText xml:space="preserve"> REF _Ref477247926 \h </w:instrText>
      </w:r>
      <w:r>
        <w:fldChar w:fldCharType="separate"/>
      </w:r>
      <w:r w:rsidR="000D1C35">
        <w:t xml:space="preserve">Table </w:t>
      </w:r>
      <w:r w:rsidR="000D1C35">
        <w:rPr>
          <w:noProof/>
        </w:rPr>
        <w:t>21</w:t>
      </w:r>
      <w:r>
        <w:fldChar w:fldCharType="end"/>
      </w:r>
      <w:r>
        <w:t xml:space="preserve"> summarizes the findings of the market sizing analysis; regardless of market breakdown, both scenarios show an annualized market size of around US $12.5 million. The sales volume changes </w:t>
      </w:r>
      <w:r w:rsidR="00541047">
        <w:t xml:space="preserve">by </w:t>
      </w:r>
      <w:r>
        <w:t>scenario, with an annual potential sales volume of 346 units for scenario I (representing an average selling price per unit of US $37,000), and 239 units for scenario II (average selling price per unit of US $53,000).</w:t>
      </w:r>
      <w:r w:rsidR="007D7CA7">
        <w:t xml:space="preserve"> </w:t>
      </w:r>
      <w:r w:rsidR="002C2B4A">
        <w:t xml:space="preserve"> </w:t>
      </w:r>
    </w:p>
    <w:p w14:paraId="5AF14BF6" w14:textId="1109258F" w:rsidR="002C2B4A" w:rsidRDefault="002C2B4A" w:rsidP="0099462C">
      <w:pPr>
        <w:pStyle w:val="Caption"/>
      </w:pPr>
      <w:bookmarkStart w:id="127" w:name="_Ref477247926"/>
      <w:bookmarkStart w:id="128" w:name="_Toc500969385"/>
      <w:r>
        <w:t xml:space="preserve">Table </w:t>
      </w:r>
      <w:fldSimple w:instr=" SEQ Table \* ARABIC ">
        <w:r w:rsidR="000D1C35">
          <w:rPr>
            <w:noProof/>
          </w:rPr>
          <w:t>21</w:t>
        </w:r>
      </w:fldSimple>
      <w:bookmarkEnd w:id="127"/>
      <w:r>
        <w:t xml:space="preserve">: </w:t>
      </w:r>
      <w:r w:rsidR="007D7CA7">
        <w:t xml:space="preserve">Solar market for </w:t>
      </w:r>
      <w:r>
        <w:t>crop processing</w:t>
      </w:r>
      <w:r w:rsidR="007D7CA7">
        <w:t xml:space="preserve"> in Niger</w:t>
      </w:r>
      <w:bookmarkEnd w:id="128"/>
    </w:p>
    <w:p w14:paraId="6536D9D3" w14:textId="4289A545" w:rsidR="002C2B4A" w:rsidRDefault="007D7CA7" w:rsidP="00F64180">
      <w:r w:rsidRPr="007D7CA7">
        <w:rPr>
          <w:noProof/>
        </w:rPr>
        <w:drawing>
          <wp:inline distT="0" distB="0" distL="0" distR="0" wp14:anchorId="4674B318" wp14:editId="57006531">
            <wp:extent cx="4846320" cy="234086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6320" cy="2340864"/>
                    </a:xfrm>
                    <a:prstGeom prst="rect">
                      <a:avLst/>
                    </a:prstGeom>
                    <a:noFill/>
                    <a:ln>
                      <a:noFill/>
                    </a:ln>
                  </pic:spPr>
                </pic:pic>
              </a:graphicData>
            </a:graphic>
          </wp:inline>
        </w:drawing>
      </w:r>
    </w:p>
    <w:p w14:paraId="19BF27F3" w14:textId="1E6C249F" w:rsidR="00E12519" w:rsidRDefault="00D27C80" w:rsidP="00F64180">
      <w:r>
        <w:t xml:space="preserve">In absence of empirical data of how much of the key crops is actually processed in Niger, we present the market size for both scenarios at different crop processing levels in </w:t>
      </w:r>
      <w:r>
        <w:fldChar w:fldCharType="begin"/>
      </w:r>
      <w:r>
        <w:instrText xml:space="preserve"> REF _Ref477276072 \h </w:instrText>
      </w:r>
      <w:r>
        <w:fldChar w:fldCharType="separate"/>
      </w:r>
      <w:r w:rsidR="000D1C35">
        <w:t xml:space="preserve">Table </w:t>
      </w:r>
      <w:r w:rsidR="000D1C35">
        <w:rPr>
          <w:noProof/>
        </w:rPr>
        <w:t>22</w:t>
      </w:r>
      <w:r>
        <w:fldChar w:fldCharType="end"/>
      </w:r>
      <w:r>
        <w:t xml:space="preserve">. </w:t>
      </w:r>
    </w:p>
    <w:p w14:paraId="72E9FC3D" w14:textId="2D4DE160" w:rsidR="00D27C80" w:rsidRDefault="00D27C80" w:rsidP="00D27C80">
      <w:pPr>
        <w:pStyle w:val="Caption"/>
      </w:pPr>
      <w:bookmarkStart w:id="129" w:name="_Ref477276072"/>
      <w:bookmarkStart w:id="130" w:name="_Toc500969386"/>
      <w:r>
        <w:t xml:space="preserve">Table </w:t>
      </w:r>
      <w:fldSimple w:instr=" SEQ Table \* ARABIC ">
        <w:r w:rsidR="000D1C35">
          <w:rPr>
            <w:noProof/>
          </w:rPr>
          <w:t>22</w:t>
        </w:r>
      </w:fldSimple>
      <w:bookmarkEnd w:id="129"/>
      <w:r>
        <w:t>: Solar market size for crop processing at different processing levels</w:t>
      </w:r>
      <w:bookmarkEnd w:id="130"/>
    </w:p>
    <w:p w14:paraId="65770B46" w14:textId="2E0D7C4C" w:rsidR="00D27C80" w:rsidRDefault="00D27C80" w:rsidP="00F64180">
      <w:r w:rsidRPr="00D27C80">
        <w:rPr>
          <w:noProof/>
        </w:rPr>
        <w:drawing>
          <wp:inline distT="0" distB="0" distL="0" distR="0" wp14:anchorId="60005129" wp14:editId="653A5C41">
            <wp:extent cx="4325112" cy="530352"/>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5112" cy="530352"/>
                    </a:xfrm>
                    <a:prstGeom prst="rect">
                      <a:avLst/>
                    </a:prstGeom>
                    <a:noFill/>
                    <a:ln>
                      <a:noFill/>
                    </a:ln>
                  </pic:spPr>
                </pic:pic>
              </a:graphicData>
            </a:graphic>
          </wp:inline>
        </w:drawing>
      </w:r>
    </w:p>
    <w:p w14:paraId="4B31A99F" w14:textId="0C19D7A3" w:rsidR="00D27C80" w:rsidRPr="00F64180" w:rsidRDefault="007416FF" w:rsidP="001156F3">
      <w:pPr>
        <w:jc w:val="both"/>
      </w:pPr>
      <w:r>
        <w:lastRenderedPageBreak/>
        <w:t>The market size grows with increasing crop processing levels from around US $3.7 million if 25% of production is processed, to around US $15 million if 100% of crops are processed. Further analysis outside of the scope of this research will be required to determine a more accurate market size and the geographic locations of this market for solar energy.</w:t>
      </w:r>
    </w:p>
    <w:p w14:paraId="20A1F751" w14:textId="7FE5A86C" w:rsidR="007037A3" w:rsidRPr="00545F7A" w:rsidRDefault="003D6D70" w:rsidP="00955049">
      <w:pPr>
        <w:pStyle w:val="H2NEWreportStyle"/>
      </w:pPr>
      <w:bookmarkStart w:id="131" w:name="_Toc501097042"/>
      <w:r w:rsidRPr="00545F7A">
        <w:t>Water provision</w:t>
      </w:r>
      <w:bookmarkEnd w:id="116"/>
      <w:bookmarkEnd w:id="131"/>
    </w:p>
    <w:p w14:paraId="37972B8B" w14:textId="42D59D1E" w:rsidR="006B5634" w:rsidRDefault="00F4651F" w:rsidP="009769AD">
      <w:r>
        <w:t>Besides irrigation, t</w:t>
      </w:r>
      <w:r w:rsidR="006B5634">
        <w:t>he second large segment for water pumping is nationwide public and private water provision, both for drinking water and productive use</w:t>
      </w:r>
      <w:r w:rsidR="00EE07BD">
        <w:t xml:space="preserve"> (domestic and industrial)</w:t>
      </w:r>
      <w:r w:rsidR="006B5634">
        <w:t xml:space="preserve">. </w:t>
      </w:r>
    </w:p>
    <w:p w14:paraId="35C7CB69" w14:textId="329EC2B5" w:rsidR="00F4651F" w:rsidRDefault="006B5634" w:rsidP="00F4651F">
      <w:pPr>
        <w:jc w:val="both"/>
      </w:pPr>
      <w:r>
        <w:t xml:space="preserve">Water supply in Niger </w:t>
      </w:r>
      <w:r w:rsidR="00776A3F">
        <w:t xml:space="preserve">follows different </w:t>
      </w:r>
      <w:r w:rsidR="00545F7A">
        <w:t xml:space="preserve">distribution models </w:t>
      </w:r>
      <w:r w:rsidR="00776A3F">
        <w:t xml:space="preserve">in </w:t>
      </w:r>
      <w:r>
        <w:t>rural an</w:t>
      </w:r>
      <w:r w:rsidR="00545F7A">
        <w:t>d urban areas. In urban areas, -</w:t>
      </w:r>
      <w:r>
        <w:t xml:space="preserve"> that is in 54 cities across Niger - the responsibilities are shared between the government and a</w:t>
      </w:r>
      <w:r w:rsidR="00776A3F">
        <w:t xml:space="preserve"> private sector corporation. A</w:t>
      </w:r>
      <w:r>
        <w:t xml:space="preserve"> public holding company owns the </w:t>
      </w:r>
      <w:r w:rsidR="00B87906">
        <w:t xml:space="preserve">water supply </w:t>
      </w:r>
      <w:r>
        <w:t xml:space="preserve">network and manages </w:t>
      </w:r>
      <w:r w:rsidR="00B87906">
        <w:t xml:space="preserve">its </w:t>
      </w:r>
      <w:r>
        <w:t>expansion and maintenance, and a private corporation manages the water distribution. The contractual relation</w:t>
      </w:r>
      <w:r w:rsidR="00B87906">
        <w:t>ship</w:t>
      </w:r>
      <w:r>
        <w:t xml:space="preserve"> within this public-private-partnership is that of a lease </w:t>
      </w:r>
      <w:r w:rsidR="00A914FF">
        <w:t>and affermage, with the private corporation being held accountable to meet n</w:t>
      </w:r>
      <w:r>
        <w:t>etwork efficiency goals as determined by the government.</w:t>
      </w:r>
      <w:r w:rsidR="00725ED4">
        <w:rPr>
          <w:rStyle w:val="FootnoteReference"/>
        </w:rPr>
        <w:footnoteReference w:id="51"/>
      </w:r>
    </w:p>
    <w:p w14:paraId="15BD3083" w14:textId="0BEB55AD" w:rsidR="00F4651F" w:rsidRDefault="00F4651F" w:rsidP="00F4651F">
      <w:pPr>
        <w:jc w:val="both"/>
      </w:pPr>
      <w:r>
        <w:t>In rural areas, the government finances and oversees infrastructure development, and the</w:t>
      </w:r>
      <w:r w:rsidR="00465DCE">
        <w:t>se</w:t>
      </w:r>
      <w:r>
        <w:t xml:space="preserve"> assets are then passed over to communes for ownership and management. In most cases, these assets are then leased to private sector water providers who operate the</w:t>
      </w:r>
      <w:r w:rsidR="00465DCE">
        <w:t xml:space="preserve">m </w:t>
      </w:r>
      <w:r>
        <w:t xml:space="preserve">and manage </w:t>
      </w:r>
      <w:r w:rsidR="00465DCE">
        <w:t xml:space="preserve">water </w:t>
      </w:r>
      <w:r>
        <w:t>sales</w:t>
      </w:r>
      <w:r w:rsidR="00465DCE">
        <w:t xml:space="preserve"> to the public</w:t>
      </w:r>
      <w:r>
        <w:t xml:space="preserve">. </w:t>
      </w:r>
    </w:p>
    <w:p w14:paraId="4CBD457A" w14:textId="645B4E2A" w:rsidR="006B5634" w:rsidRDefault="00F4651F" w:rsidP="00F4651F">
      <w:pPr>
        <w:jc w:val="both"/>
      </w:pPr>
      <w:r>
        <w:t xml:space="preserve">In </w:t>
      </w:r>
      <w:r w:rsidR="00465DCE">
        <w:t xml:space="preserve">the </w:t>
      </w:r>
      <w:r>
        <w:t>absence of sufficient data</w:t>
      </w:r>
      <w:r w:rsidR="00465DCE">
        <w:t>, i.e. number of and regional distribution of water providers, and their volumes of water pumped or energy consumption,</w:t>
      </w:r>
      <w:r>
        <w:t xml:space="preserve"> to model the electricity needs of the different private and public sector water providers, the assessment of the market opportunity for solar water pumping is based on the number of water stations. </w:t>
      </w:r>
      <w:r w:rsidR="00465DCE">
        <w:t xml:space="preserve">A </w:t>
      </w:r>
      <w:r>
        <w:t xml:space="preserve">water station is defined as a well or a borehole with water pumping activities. </w:t>
      </w:r>
      <w:r w:rsidR="00465DCE">
        <w:t xml:space="preserve">Electricity needs for the water stations are derived from the fact that each </w:t>
      </w:r>
      <w:r>
        <w:t>water station needs to lift water to surface level</w:t>
      </w:r>
      <w:r w:rsidR="00465DCE">
        <w:t>, and then pump the water to</w:t>
      </w:r>
      <w:r>
        <w:t xml:space="preserve"> water points</w:t>
      </w:r>
      <w:r w:rsidR="00465DCE">
        <w:t xml:space="preserve"> or outlets</w:t>
      </w:r>
      <w:r>
        <w:t xml:space="preserve">, which can be </w:t>
      </w:r>
      <w:r w:rsidR="00465DCE">
        <w:t xml:space="preserve">for example </w:t>
      </w:r>
      <w:r>
        <w:t>connected households, public institutions</w:t>
      </w:r>
      <w:r w:rsidR="00465DCE">
        <w:t xml:space="preserve">, </w:t>
      </w:r>
      <w:r>
        <w:t xml:space="preserve">or </w:t>
      </w:r>
      <w:r w:rsidR="00465DCE">
        <w:t xml:space="preserve">communal water fountains </w:t>
      </w:r>
      <w:r>
        <w:t xml:space="preserve">in rural areas. The modeling approach by water station appears favorable as each water station will need </w:t>
      </w:r>
      <w:r w:rsidR="00173C44">
        <w:t>pumping technology, and water provider</w:t>
      </w:r>
      <w:r w:rsidR="00817C14">
        <w:t>s</w:t>
      </w:r>
      <w:r w:rsidR="00173C44">
        <w:t xml:space="preserve"> vary considerably by the number of water </w:t>
      </w:r>
      <w:r w:rsidR="00817C14">
        <w:t>stations under their management, with frequent changes to the number in management.</w:t>
      </w:r>
    </w:p>
    <w:p w14:paraId="5DBD1104" w14:textId="1E094F33" w:rsidR="00173C44" w:rsidRDefault="00173C44" w:rsidP="00F4651F">
      <w:pPr>
        <w:jc w:val="both"/>
      </w:pPr>
      <w:r>
        <w:t>The different types of water stations serve different markets and pump vastly different water volumes. The breakdown of water stations for the purpose of this analysis is as follows, categorized into rural and urban areas:</w:t>
      </w:r>
      <w:r w:rsidRPr="00173C44">
        <w:rPr>
          <w:rStyle w:val="FootnoteReference"/>
        </w:rPr>
        <w:t xml:space="preserve"> </w:t>
      </w:r>
      <w:r>
        <w:rPr>
          <w:rStyle w:val="FootnoteReference"/>
        </w:rPr>
        <w:footnoteReference w:id="52"/>
      </w:r>
    </w:p>
    <w:p w14:paraId="56471B1D" w14:textId="041141FA" w:rsidR="00E50AD6" w:rsidRPr="00173C44" w:rsidRDefault="00E50AD6" w:rsidP="009769AD">
      <w:pPr>
        <w:rPr>
          <w:rFonts w:cs="Segoe UI"/>
          <w:u w:val="single"/>
        </w:rPr>
      </w:pPr>
      <w:r w:rsidRPr="00173C44">
        <w:rPr>
          <w:rFonts w:cs="Segoe UI"/>
          <w:u w:val="single"/>
        </w:rPr>
        <w:t xml:space="preserve">Rural </w:t>
      </w:r>
      <w:r w:rsidR="00173C44" w:rsidRPr="00173C44">
        <w:rPr>
          <w:rFonts w:cs="Segoe UI"/>
          <w:u w:val="single"/>
        </w:rPr>
        <w:t>areas</w:t>
      </w:r>
    </w:p>
    <w:p w14:paraId="00E7FA09" w14:textId="5E728376" w:rsidR="00E50AD6" w:rsidRPr="00D679B4" w:rsidRDefault="00E50AD6" w:rsidP="006A7E1D">
      <w:pPr>
        <w:pStyle w:val="ListParagraph"/>
        <w:numPr>
          <w:ilvl w:val="0"/>
          <w:numId w:val="8"/>
        </w:numPr>
        <w:spacing w:before="120" w:after="120"/>
        <w:contextualSpacing w:val="0"/>
        <w:jc w:val="both"/>
        <w:rPr>
          <w:rFonts w:cs="Segoe UI"/>
        </w:rPr>
      </w:pPr>
      <w:r w:rsidRPr="00D679B4">
        <w:rPr>
          <w:rFonts w:cs="Segoe UI"/>
          <w:i/>
        </w:rPr>
        <w:t>P</w:t>
      </w:r>
      <w:r w:rsidR="00C83ED0">
        <w:rPr>
          <w:rFonts w:cs="Segoe UI"/>
          <w:i/>
        </w:rPr>
        <w:t>uits cimentés</w:t>
      </w:r>
      <w:r w:rsidRPr="00D679B4">
        <w:rPr>
          <w:rFonts w:cs="Segoe UI"/>
          <w:i/>
        </w:rPr>
        <w:t xml:space="preserve"> (</w:t>
      </w:r>
      <w:r w:rsidR="00173C44">
        <w:rPr>
          <w:rFonts w:cs="Segoe UI"/>
          <w:i/>
        </w:rPr>
        <w:t>“</w:t>
      </w:r>
      <w:r w:rsidR="00C83ED0">
        <w:rPr>
          <w:rFonts w:cs="Segoe UI"/>
          <w:i/>
        </w:rPr>
        <w:t>PC</w:t>
      </w:r>
      <w:r w:rsidR="00173C44">
        <w:rPr>
          <w:rFonts w:cs="Segoe UI"/>
          <w:i/>
        </w:rPr>
        <w:t>”</w:t>
      </w:r>
      <w:r w:rsidRPr="00D679B4">
        <w:rPr>
          <w:rFonts w:cs="Segoe UI"/>
          <w:i/>
        </w:rPr>
        <w:t>)</w:t>
      </w:r>
      <w:r w:rsidR="00173C44">
        <w:rPr>
          <w:rFonts w:cs="Segoe UI"/>
        </w:rPr>
        <w:t>: B</w:t>
      </w:r>
      <w:r w:rsidRPr="00D679B4">
        <w:rPr>
          <w:rFonts w:cs="Segoe UI"/>
        </w:rPr>
        <w:t>oreholes and wells</w:t>
      </w:r>
      <w:r w:rsidR="000369FF">
        <w:rPr>
          <w:rFonts w:cs="Segoe UI"/>
        </w:rPr>
        <w:t>, currently operated</w:t>
      </w:r>
      <w:r w:rsidRPr="00D679B4">
        <w:rPr>
          <w:rFonts w:cs="Segoe UI"/>
        </w:rPr>
        <w:t xml:space="preserve"> with handpumps</w:t>
      </w:r>
      <w:r w:rsidR="00725ED4">
        <w:rPr>
          <w:rFonts w:cs="Segoe UI"/>
        </w:rPr>
        <w:t>. PC</w:t>
      </w:r>
      <w:r w:rsidR="003F6283">
        <w:rPr>
          <w:rFonts w:cs="Segoe UI"/>
        </w:rPr>
        <w:t>s are</w:t>
      </w:r>
      <w:r w:rsidRPr="00D679B4">
        <w:rPr>
          <w:rFonts w:cs="Segoe UI"/>
        </w:rPr>
        <w:t xml:space="preserve"> for communal use </w:t>
      </w:r>
      <w:r w:rsidR="003F6283">
        <w:rPr>
          <w:rFonts w:cs="Segoe UI"/>
        </w:rPr>
        <w:t xml:space="preserve">and are </w:t>
      </w:r>
      <w:r w:rsidRPr="00D679B4">
        <w:rPr>
          <w:rFonts w:cs="Segoe UI"/>
        </w:rPr>
        <w:t>typically found in settlements of fewer than 500 people</w:t>
      </w:r>
      <w:r w:rsidR="00173C44">
        <w:rPr>
          <w:rFonts w:cs="Segoe UI"/>
        </w:rPr>
        <w:t xml:space="preserve">; </w:t>
      </w:r>
      <w:r w:rsidR="00B36814">
        <w:rPr>
          <w:rFonts w:cs="Segoe UI"/>
        </w:rPr>
        <w:t xml:space="preserve">water is pumped to the surface and collected at the </w:t>
      </w:r>
      <w:r w:rsidR="00725ED4">
        <w:rPr>
          <w:rFonts w:cs="Segoe UI"/>
        </w:rPr>
        <w:t>PC</w:t>
      </w:r>
      <w:r w:rsidR="00143976">
        <w:rPr>
          <w:rFonts w:cs="Segoe UI"/>
        </w:rPr>
        <w:t>.</w:t>
      </w:r>
    </w:p>
    <w:p w14:paraId="2C41F26D" w14:textId="232C482F" w:rsidR="00173C44" w:rsidRDefault="00173C44" w:rsidP="006A7E1D">
      <w:pPr>
        <w:pStyle w:val="ListParagraph"/>
        <w:numPr>
          <w:ilvl w:val="0"/>
          <w:numId w:val="8"/>
        </w:numPr>
        <w:spacing w:before="120" w:after="120"/>
        <w:contextualSpacing w:val="0"/>
        <w:jc w:val="both"/>
        <w:rPr>
          <w:rFonts w:cs="Segoe UI"/>
        </w:rPr>
      </w:pPr>
      <w:r>
        <w:rPr>
          <w:rFonts w:cs="Segoe UI"/>
          <w:i/>
        </w:rPr>
        <w:lastRenderedPageBreak/>
        <w:t>Forage equipé</w:t>
      </w:r>
      <w:r w:rsidR="00E50AD6" w:rsidRPr="00D679B4">
        <w:rPr>
          <w:rFonts w:cs="Segoe UI"/>
          <w:i/>
        </w:rPr>
        <w:t>s en pompe (</w:t>
      </w:r>
      <w:r>
        <w:rPr>
          <w:rFonts w:cs="Segoe UI"/>
          <w:i/>
        </w:rPr>
        <w:t>“</w:t>
      </w:r>
      <w:r w:rsidR="00E50AD6" w:rsidRPr="00D679B4">
        <w:rPr>
          <w:rFonts w:cs="Segoe UI"/>
          <w:i/>
        </w:rPr>
        <w:t>FPMH</w:t>
      </w:r>
      <w:r>
        <w:rPr>
          <w:rFonts w:cs="Segoe UI"/>
          <w:i/>
        </w:rPr>
        <w:t>”</w:t>
      </w:r>
      <w:r w:rsidR="00E50AD6" w:rsidRPr="00D679B4">
        <w:rPr>
          <w:rFonts w:cs="Segoe UI"/>
          <w:i/>
        </w:rPr>
        <w:t>)</w:t>
      </w:r>
      <w:r>
        <w:rPr>
          <w:rFonts w:cs="Segoe UI"/>
        </w:rPr>
        <w:t>: B</w:t>
      </w:r>
      <w:r w:rsidR="00E50AD6" w:rsidRPr="00D679B4">
        <w:rPr>
          <w:rFonts w:cs="Segoe UI"/>
        </w:rPr>
        <w:t>oreholes and wells</w:t>
      </w:r>
      <w:r w:rsidR="00BF132A">
        <w:rPr>
          <w:rFonts w:cs="Segoe UI"/>
        </w:rPr>
        <w:t>, currently operated</w:t>
      </w:r>
      <w:r w:rsidR="00E50AD6" w:rsidRPr="00D679B4">
        <w:rPr>
          <w:rFonts w:cs="Segoe UI"/>
        </w:rPr>
        <w:t xml:space="preserve"> with handpumps</w:t>
      </w:r>
      <w:r w:rsidR="00BF132A">
        <w:rPr>
          <w:rFonts w:cs="Segoe UI"/>
        </w:rPr>
        <w:t>,</w:t>
      </w:r>
      <w:r w:rsidR="00E50AD6" w:rsidRPr="00D679B4">
        <w:rPr>
          <w:rFonts w:cs="Segoe UI"/>
        </w:rPr>
        <w:t xml:space="preserve"> typically found in settlements of fewer than 1,500 people</w:t>
      </w:r>
      <w:r>
        <w:rPr>
          <w:rFonts w:cs="Segoe UI"/>
        </w:rPr>
        <w:t xml:space="preserve">; </w:t>
      </w:r>
      <w:r w:rsidR="00BF132A">
        <w:rPr>
          <w:rFonts w:cs="Segoe UI"/>
        </w:rPr>
        <w:t xml:space="preserve">water is pumped to the surface and collected at the </w:t>
      </w:r>
      <w:r w:rsidR="00E50AD6">
        <w:rPr>
          <w:rFonts w:cs="Segoe UI"/>
        </w:rPr>
        <w:t>FPMH</w:t>
      </w:r>
      <w:r w:rsidR="00E57B65">
        <w:rPr>
          <w:rFonts w:cs="Segoe UI"/>
        </w:rPr>
        <w:t>.</w:t>
      </w:r>
    </w:p>
    <w:p w14:paraId="04ACF7F8" w14:textId="3E06DAE8" w:rsidR="00E50AD6" w:rsidRPr="00E21C9F" w:rsidRDefault="00E50AD6" w:rsidP="006A7E1D">
      <w:pPr>
        <w:pStyle w:val="ListParagraph"/>
        <w:numPr>
          <w:ilvl w:val="0"/>
          <w:numId w:val="8"/>
        </w:numPr>
        <w:spacing w:before="120" w:after="120"/>
        <w:contextualSpacing w:val="0"/>
        <w:jc w:val="both"/>
        <w:rPr>
          <w:rFonts w:cs="Segoe UI"/>
        </w:rPr>
      </w:pPr>
      <w:r w:rsidRPr="00D679B4">
        <w:rPr>
          <w:rFonts w:cs="Segoe UI"/>
          <w:i/>
        </w:rPr>
        <w:t xml:space="preserve">Pointe d’eau </w:t>
      </w:r>
      <w:r w:rsidR="00DF080F">
        <w:rPr>
          <w:rFonts w:cs="Segoe UI"/>
          <w:i/>
        </w:rPr>
        <w:t>a</w:t>
      </w:r>
      <w:r w:rsidRPr="00D679B4">
        <w:rPr>
          <w:rFonts w:cs="Segoe UI"/>
          <w:i/>
        </w:rPr>
        <w:t>utonome (</w:t>
      </w:r>
      <w:r w:rsidR="00DF080F">
        <w:rPr>
          <w:rFonts w:cs="Segoe UI"/>
          <w:i/>
        </w:rPr>
        <w:t>“</w:t>
      </w:r>
      <w:r w:rsidRPr="00D679B4">
        <w:rPr>
          <w:rFonts w:cs="Segoe UI"/>
          <w:i/>
        </w:rPr>
        <w:t>PEA</w:t>
      </w:r>
      <w:r w:rsidR="00DF080F">
        <w:rPr>
          <w:rFonts w:cs="Segoe UI"/>
          <w:i/>
        </w:rPr>
        <w:t>”</w:t>
      </w:r>
      <w:r w:rsidRPr="00D679B4">
        <w:rPr>
          <w:rFonts w:cs="Segoe UI"/>
          <w:i/>
        </w:rPr>
        <w:t>)</w:t>
      </w:r>
      <w:r w:rsidRPr="00D679B4">
        <w:rPr>
          <w:rFonts w:cs="Segoe UI"/>
        </w:rPr>
        <w:t xml:space="preserve">: </w:t>
      </w:r>
      <w:r w:rsidRPr="00D679B4">
        <w:t xml:space="preserve">Deep wells and </w:t>
      </w:r>
      <w:r w:rsidRPr="00D679B4">
        <w:rPr>
          <w:rFonts w:cs="Segoe UI"/>
        </w:rPr>
        <w:t>boreholes</w:t>
      </w:r>
      <w:r w:rsidR="00143976">
        <w:rPr>
          <w:rFonts w:cs="Segoe UI"/>
        </w:rPr>
        <w:t xml:space="preserve">, currently operated </w:t>
      </w:r>
      <w:r w:rsidR="004D04BE">
        <w:rPr>
          <w:rFonts w:cs="Segoe UI"/>
        </w:rPr>
        <w:t>with</w:t>
      </w:r>
      <w:r w:rsidR="00143976">
        <w:rPr>
          <w:rFonts w:cs="Segoe UI"/>
        </w:rPr>
        <w:t xml:space="preserve"> generator power (or </w:t>
      </w:r>
      <w:r w:rsidR="00870BE6">
        <w:rPr>
          <w:rFonts w:cs="Segoe UI"/>
        </w:rPr>
        <w:t xml:space="preserve">in </w:t>
      </w:r>
      <w:r w:rsidR="00143976">
        <w:rPr>
          <w:rFonts w:cs="Segoe UI"/>
        </w:rPr>
        <w:t>exceptional</w:t>
      </w:r>
      <w:r w:rsidR="00870BE6">
        <w:rPr>
          <w:rFonts w:cs="Segoe UI"/>
        </w:rPr>
        <w:t xml:space="preserve"> cases </w:t>
      </w:r>
      <w:r w:rsidR="00143976">
        <w:rPr>
          <w:rFonts w:cs="Segoe UI"/>
        </w:rPr>
        <w:t>with grid-power)</w:t>
      </w:r>
      <w:r w:rsidR="000E70EB">
        <w:rPr>
          <w:rStyle w:val="FootnoteReference"/>
          <w:rFonts w:cs="Segoe UI"/>
        </w:rPr>
        <w:footnoteReference w:id="53"/>
      </w:r>
      <w:r w:rsidR="00143976">
        <w:rPr>
          <w:rFonts w:cs="Segoe UI"/>
        </w:rPr>
        <w:t>,</w:t>
      </w:r>
      <w:r w:rsidRPr="00D679B4">
        <w:rPr>
          <w:rFonts w:cs="Segoe UI"/>
        </w:rPr>
        <w:t xml:space="preserve"> found in areas with populations greater than 1,500</w:t>
      </w:r>
      <w:r w:rsidR="00143976">
        <w:t>;</w:t>
      </w:r>
      <w:r w:rsidRPr="00D679B4">
        <w:t xml:space="preserve"> </w:t>
      </w:r>
      <w:r w:rsidR="00143976">
        <w:t>water is provided at</w:t>
      </w:r>
      <w:r w:rsidRPr="00D679B4">
        <w:t xml:space="preserve"> multiple water access points</w:t>
      </w:r>
      <w:r>
        <w:t xml:space="preserve"> </w:t>
      </w:r>
      <w:r w:rsidR="00143976">
        <w:t xml:space="preserve">surrounding the PEA.  </w:t>
      </w:r>
    </w:p>
    <w:p w14:paraId="4BFA3250" w14:textId="53A7B735" w:rsidR="00E57B65" w:rsidRDefault="00E50AD6" w:rsidP="006A7E1D">
      <w:pPr>
        <w:pStyle w:val="ListParagraph"/>
        <w:numPr>
          <w:ilvl w:val="0"/>
          <w:numId w:val="9"/>
        </w:numPr>
        <w:autoSpaceDE w:val="0"/>
        <w:autoSpaceDN w:val="0"/>
        <w:adjustRightInd w:val="0"/>
        <w:spacing w:before="120" w:after="120"/>
        <w:contextualSpacing w:val="0"/>
        <w:jc w:val="both"/>
        <w:rPr>
          <w:rFonts w:cs="Segoe UI"/>
          <w:color w:val="000000"/>
        </w:rPr>
      </w:pPr>
      <w:r w:rsidRPr="00D679B4">
        <w:rPr>
          <w:rFonts w:cs="Segoe UI"/>
          <w:i/>
          <w:color w:val="000000"/>
        </w:rPr>
        <w:t>Station de pompage pastorale (</w:t>
      </w:r>
      <w:r w:rsidR="00DF080F">
        <w:rPr>
          <w:rFonts w:cs="Segoe UI"/>
          <w:i/>
          <w:color w:val="000000"/>
        </w:rPr>
        <w:t>“</w:t>
      </w:r>
      <w:r w:rsidRPr="00D679B4">
        <w:rPr>
          <w:rFonts w:cs="Segoe UI"/>
          <w:i/>
          <w:color w:val="000000"/>
        </w:rPr>
        <w:t>SPP</w:t>
      </w:r>
      <w:r w:rsidR="00DF080F">
        <w:rPr>
          <w:rFonts w:cs="Segoe UI"/>
          <w:i/>
          <w:color w:val="000000"/>
        </w:rPr>
        <w:t>”</w:t>
      </w:r>
      <w:r w:rsidRPr="00D679B4">
        <w:rPr>
          <w:rFonts w:cs="Segoe UI"/>
          <w:i/>
          <w:color w:val="000000"/>
        </w:rPr>
        <w:t>)</w:t>
      </w:r>
      <w:r w:rsidRPr="00D679B4">
        <w:rPr>
          <w:rFonts w:cs="Segoe UI"/>
          <w:color w:val="000000"/>
        </w:rPr>
        <w:t xml:space="preserve">: </w:t>
      </w:r>
      <w:r w:rsidRPr="00D679B4">
        <w:t xml:space="preserve">Deep wells and </w:t>
      </w:r>
      <w:r w:rsidRPr="00D679B4">
        <w:rPr>
          <w:rFonts w:cs="Segoe UI"/>
        </w:rPr>
        <w:t>boreholes</w:t>
      </w:r>
      <w:r w:rsidR="00143976">
        <w:rPr>
          <w:rFonts w:cs="Segoe UI"/>
        </w:rPr>
        <w:t xml:space="preserve">, currently </w:t>
      </w:r>
      <w:r w:rsidR="0092718F">
        <w:rPr>
          <w:rFonts w:cs="Segoe UI"/>
        </w:rPr>
        <w:t xml:space="preserve">operated </w:t>
      </w:r>
      <w:r w:rsidR="004D04BE">
        <w:rPr>
          <w:rFonts w:cs="Segoe UI"/>
        </w:rPr>
        <w:t>with</w:t>
      </w:r>
      <w:r w:rsidR="0092718F">
        <w:rPr>
          <w:rFonts w:cs="Segoe UI"/>
        </w:rPr>
        <w:t xml:space="preserve"> generator power (or </w:t>
      </w:r>
      <w:r w:rsidR="00770BB6">
        <w:rPr>
          <w:rFonts w:cs="Segoe UI"/>
        </w:rPr>
        <w:t xml:space="preserve">some </w:t>
      </w:r>
      <w:r w:rsidR="0092718F">
        <w:rPr>
          <w:rFonts w:cs="Segoe UI"/>
        </w:rPr>
        <w:t>with grid-power);</w:t>
      </w:r>
      <w:r w:rsidRPr="00D679B4">
        <w:rPr>
          <w:rFonts w:cs="Segoe UI"/>
        </w:rPr>
        <w:t xml:space="preserve"> </w:t>
      </w:r>
      <w:r>
        <w:rPr>
          <w:rFonts w:cs="Segoe UI"/>
        </w:rPr>
        <w:t xml:space="preserve">located </w:t>
      </w:r>
      <w:r w:rsidR="0092718F">
        <w:rPr>
          <w:rFonts w:cs="Segoe UI"/>
          <w:color w:val="000000"/>
        </w:rPr>
        <w:t xml:space="preserve">in areas with livestock, </w:t>
      </w:r>
      <w:r w:rsidR="0092718F" w:rsidRPr="00D679B4">
        <w:rPr>
          <w:rFonts w:cs="Segoe UI"/>
          <w:color w:val="000000"/>
        </w:rPr>
        <w:t>typically</w:t>
      </w:r>
      <w:r w:rsidR="0092718F">
        <w:rPr>
          <w:rFonts w:cs="Segoe UI"/>
          <w:color w:val="000000"/>
        </w:rPr>
        <w:t xml:space="preserve"> in places where </w:t>
      </w:r>
      <w:r>
        <w:rPr>
          <w:rFonts w:cs="Segoe UI"/>
          <w:color w:val="000000"/>
        </w:rPr>
        <w:t>there is a higher water need than can be met by a PEA</w:t>
      </w:r>
      <w:r w:rsidRPr="00D679B4">
        <w:rPr>
          <w:rFonts w:cs="Segoe UI"/>
          <w:color w:val="000000"/>
        </w:rPr>
        <w:t xml:space="preserve"> (</w:t>
      </w:r>
      <w:r>
        <w:rPr>
          <w:rFonts w:cs="Segoe UI"/>
          <w:color w:val="000000"/>
        </w:rPr>
        <w:t xml:space="preserve">to supply both livestock and people). SPPs </w:t>
      </w:r>
      <w:r w:rsidRPr="00D679B4">
        <w:rPr>
          <w:rFonts w:cs="Segoe UI"/>
          <w:color w:val="000000"/>
        </w:rPr>
        <w:t xml:space="preserve">are </w:t>
      </w:r>
      <w:r w:rsidR="0092718F">
        <w:rPr>
          <w:rFonts w:cs="Segoe UI"/>
          <w:color w:val="000000"/>
        </w:rPr>
        <w:t xml:space="preserve">equipped with </w:t>
      </w:r>
      <w:r>
        <w:rPr>
          <w:rFonts w:cs="Segoe UI"/>
          <w:color w:val="000000"/>
        </w:rPr>
        <w:t xml:space="preserve">a </w:t>
      </w:r>
      <w:r w:rsidR="0092718F">
        <w:rPr>
          <w:rFonts w:cs="Segoe UI"/>
          <w:color w:val="000000"/>
        </w:rPr>
        <w:t xml:space="preserve">powered </w:t>
      </w:r>
      <w:r w:rsidRPr="00D679B4">
        <w:rPr>
          <w:rFonts w:cs="Segoe UI"/>
          <w:color w:val="000000"/>
        </w:rPr>
        <w:t>pumping station,</w:t>
      </w:r>
      <w:r w:rsidR="006A77E6">
        <w:rPr>
          <w:rFonts w:cs="Segoe UI"/>
          <w:color w:val="000000"/>
        </w:rPr>
        <w:t xml:space="preserve"> water</w:t>
      </w:r>
      <w:r w:rsidRPr="00D679B4">
        <w:rPr>
          <w:rFonts w:cs="Segoe UI"/>
          <w:color w:val="000000"/>
        </w:rPr>
        <w:t xml:space="preserve"> reservoir and 1-3 </w:t>
      </w:r>
      <w:r w:rsidR="006A77E6">
        <w:rPr>
          <w:rFonts w:cs="Segoe UI"/>
          <w:color w:val="000000"/>
        </w:rPr>
        <w:t xml:space="preserve">water </w:t>
      </w:r>
      <w:r w:rsidRPr="00D679B4">
        <w:rPr>
          <w:rFonts w:cs="Segoe UI"/>
          <w:color w:val="000000"/>
        </w:rPr>
        <w:t>outlets,</w:t>
      </w:r>
      <w:r>
        <w:rPr>
          <w:rFonts w:cs="Segoe UI"/>
          <w:color w:val="000000"/>
        </w:rPr>
        <w:t xml:space="preserve"> typically </w:t>
      </w:r>
      <w:r w:rsidR="006A77E6">
        <w:rPr>
          <w:rFonts w:cs="Segoe UI"/>
          <w:color w:val="000000"/>
        </w:rPr>
        <w:t xml:space="preserve">split into outlets for </w:t>
      </w:r>
      <w:r>
        <w:rPr>
          <w:rFonts w:cs="Segoe UI"/>
          <w:color w:val="000000"/>
        </w:rPr>
        <w:t xml:space="preserve">livestock </w:t>
      </w:r>
      <w:r w:rsidR="006A77E6">
        <w:rPr>
          <w:rFonts w:cs="Segoe UI"/>
          <w:color w:val="000000"/>
        </w:rPr>
        <w:t xml:space="preserve">drinking, and </w:t>
      </w:r>
      <w:r w:rsidR="00AB529E">
        <w:rPr>
          <w:rFonts w:cs="Segoe UI"/>
          <w:color w:val="000000"/>
        </w:rPr>
        <w:t xml:space="preserve">basic taps for other </w:t>
      </w:r>
      <w:r w:rsidR="006A77E6">
        <w:rPr>
          <w:rFonts w:cs="Segoe UI"/>
          <w:color w:val="000000"/>
        </w:rPr>
        <w:t>water</w:t>
      </w:r>
      <w:r w:rsidR="00AB529E">
        <w:rPr>
          <w:rFonts w:cs="Segoe UI"/>
          <w:color w:val="000000"/>
        </w:rPr>
        <w:t xml:space="preserve"> needs. </w:t>
      </w:r>
      <w:r w:rsidR="006A77E6">
        <w:rPr>
          <w:rFonts w:cs="Segoe UI"/>
          <w:color w:val="000000"/>
        </w:rPr>
        <w:t xml:space="preserve"> </w:t>
      </w:r>
    </w:p>
    <w:p w14:paraId="627AACDC" w14:textId="0481A238" w:rsidR="00E57B65" w:rsidRDefault="00E57B65" w:rsidP="006A7E1D">
      <w:pPr>
        <w:pStyle w:val="ListParagraph"/>
        <w:numPr>
          <w:ilvl w:val="0"/>
          <w:numId w:val="9"/>
        </w:numPr>
        <w:autoSpaceDE w:val="0"/>
        <w:autoSpaceDN w:val="0"/>
        <w:adjustRightInd w:val="0"/>
        <w:spacing w:before="120" w:after="120"/>
        <w:contextualSpacing w:val="0"/>
        <w:jc w:val="both"/>
        <w:rPr>
          <w:rFonts w:cs="Segoe UI"/>
          <w:color w:val="000000"/>
        </w:rPr>
      </w:pPr>
      <w:r>
        <w:rPr>
          <w:rFonts w:cs="Segoe UI"/>
          <w:i/>
          <w:color w:val="000000"/>
        </w:rPr>
        <w:t>Mini addition eau p</w:t>
      </w:r>
      <w:r w:rsidRPr="00D679B4">
        <w:rPr>
          <w:rFonts w:cs="Segoe UI"/>
          <w:i/>
          <w:color w:val="000000"/>
        </w:rPr>
        <w:t>otable (</w:t>
      </w:r>
      <w:r>
        <w:rPr>
          <w:rFonts w:cs="Segoe UI"/>
          <w:i/>
          <w:color w:val="000000"/>
        </w:rPr>
        <w:t>“Mini-</w:t>
      </w:r>
      <w:r w:rsidRPr="00D679B4">
        <w:rPr>
          <w:rFonts w:cs="Segoe UI"/>
          <w:i/>
          <w:color w:val="000000"/>
        </w:rPr>
        <w:t>AEP</w:t>
      </w:r>
      <w:r>
        <w:rPr>
          <w:rFonts w:cs="Segoe UI"/>
          <w:i/>
          <w:color w:val="000000"/>
        </w:rPr>
        <w:t>”</w:t>
      </w:r>
      <w:r w:rsidRPr="00D679B4">
        <w:rPr>
          <w:rFonts w:cs="Segoe UI"/>
          <w:i/>
          <w:color w:val="000000"/>
        </w:rPr>
        <w:t>):</w:t>
      </w:r>
      <w:r>
        <w:rPr>
          <w:rFonts w:cs="Segoe UI"/>
          <w:color w:val="000000"/>
        </w:rPr>
        <w:t xml:space="preserve"> </w:t>
      </w:r>
      <w:r w:rsidRPr="00D679B4">
        <w:t xml:space="preserve">Deep wells and </w:t>
      </w:r>
      <w:r w:rsidRPr="00D679B4">
        <w:rPr>
          <w:rFonts w:cs="Segoe UI"/>
        </w:rPr>
        <w:t>boreholes</w:t>
      </w:r>
      <w:r w:rsidR="004D04BE">
        <w:rPr>
          <w:rFonts w:cs="Segoe UI"/>
        </w:rPr>
        <w:t xml:space="preserve">, </w:t>
      </w:r>
      <w:r w:rsidR="000E70EB">
        <w:rPr>
          <w:rFonts w:cs="Segoe UI"/>
        </w:rPr>
        <w:t>currently operated with either generator- or grid-power,</w:t>
      </w:r>
      <w:r w:rsidRPr="00D679B4">
        <w:rPr>
          <w:rFonts w:cs="Segoe UI"/>
        </w:rPr>
        <w:t xml:space="preserve"> </w:t>
      </w:r>
      <w:r>
        <w:rPr>
          <w:rFonts w:cs="Segoe UI"/>
        </w:rPr>
        <w:t>with integrated w</w:t>
      </w:r>
      <w:r>
        <w:rPr>
          <w:rFonts w:cs="Segoe UI"/>
          <w:color w:val="000000"/>
        </w:rPr>
        <w:t xml:space="preserve">ater distribution </w:t>
      </w:r>
      <w:r w:rsidR="000E70EB">
        <w:rPr>
          <w:rFonts w:cs="Segoe UI"/>
          <w:color w:val="000000"/>
        </w:rPr>
        <w:t xml:space="preserve">infrastructure </w:t>
      </w:r>
      <w:r>
        <w:rPr>
          <w:rFonts w:cs="Segoe UI"/>
          <w:color w:val="000000"/>
        </w:rPr>
        <w:t xml:space="preserve">supplying water </w:t>
      </w:r>
      <w:r w:rsidR="000E70EB">
        <w:rPr>
          <w:rFonts w:cs="Segoe UI"/>
          <w:color w:val="000000"/>
        </w:rPr>
        <w:t xml:space="preserve">directly </w:t>
      </w:r>
      <w:r>
        <w:rPr>
          <w:rFonts w:cs="Segoe UI"/>
          <w:color w:val="000000"/>
        </w:rPr>
        <w:t xml:space="preserve">to diverse buildings and public water fountains in a village, or to </w:t>
      </w:r>
      <w:r w:rsidRPr="00D679B4">
        <w:rPr>
          <w:rFonts w:cs="Segoe UI"/>
          <w:color w:val="000000"/>
        </w:rPr>
        <w:t>many small interconnected</w:t>
      </w:r>
      <w:r>
        <w:rPr>
          <w:rFonts w:cs="Segoe UI"/>
          <w:color w:val="000000"/>
        </w:rPr>
        <w:t xml:space="preserve"> settlements.</w:t>
      </w:r>
      <w:r w:rsidRPr="00D679B4">
        <w:rPr>
          <w:rFonts w:cs="Segoe UI"/>
          <w:color w:val="000000"/>
        </w:rPr>
        <w:t xml:space="preserve"> </w:t>
      </w:r>
    </w:p>
    <w:p w14:paraId="182BB6F4" w14:textId="77777777" w:rsidR="00E57B65" w:rsidRPr="00D679B4" w:rsidRDefault="00E57B65" w:rsidP="00E57B65">
      <w:pPr>
        <w:pStyle w:val="ListParagraph"/>
        <w:autoSpaceDE w:val="0"/>
        <w:autoSpaceDN w:val="0"/>
        <w:adjustRightInd w:val="0"/>
        <w:spacing w:after="0"/>
        <w:jc w:val="both"/>
        <w:rPr>
          <w:rFonts w:cs="Segoe UI"/>
          <w:color w:val="000000"/>
        </w:rPr>
      </w:pPr>
    </w:p>
    <w:p w14:paraId="0A706821" w14:textId="5B9603CD" w:rsidR="00E50AD6" w:rsidRPr="00E57B65" w:rsidRDefault="00E57B65" w:rsidP="00DF080F">
      <w:pPr>
        <w:autoSpaceDE w:val="0"/>
        <w:autoSpaceDN w:val="0"/>
        <w:adjustRightInd w:val="0"/>
        <w:spacing w:after="98"/>
        <w:jc w:val="both"/>
        <w:rPr>
          <w:rFonts w:cs="Segoe UI"/>
          <w:color w:val="000000"/>
          <w:u w:val="single"/>
        </w:rPr>
      </w:pPr>
      <w:r>
        <w:rPr>
          <w:rFonts w:cs="Segoe UI"/>
          <w:color w:val="000000"/>
          <w:u w:val="single"/>
        </w:rPr>
        <w:t>Urban areas</w:t>
      </w:r>
    </w:p>
    <w:p w14:paraId="0BE8F564" w14:textId="24168976" w:rsidR="00E57B65" w:rsidRDefault="00E50AD6" w:rsidP="006A7E1D">
      <w:pPr>
        <w:pStyle w:val="ListParagraph"/>
        <w:numPr>
          <w:ilvl w:val="0"/>
          <w:numId w:val="9"/>
        </w:numPr>
        <w:autoSpaceDE w:val="0"/>
        <w:autoSpaceDN w:val="0"/>
        <w:adjustRightInd w:val="0"/>
        <w:spacing w:before="120" w:after="120"/>
        <w:contextualSpacing w:val="0"/>
        <w:jc w:val="both"/>
        <w:rPr>
          <w:rFonts w:cs="Segoe UI"/>
          <w:color w:val="000000"/>
        </w:rPr>
      </w:pPr>
      <w:r w:rsidRPr="00D679B4">
        <w:rPr>
          <w:rFonts w:cs="Segoe UI"/>
          <w:i/>
          <w:color w:val="000000"/>
        </w:rPr>
        <w:t xml:space="preserve">Addition </w:t>
      </w:r>
      <w:r>
        <w:rPr>
          <w:rFonts w:cs="Segoe UI"/>
          <w:i/>
          <w:color w:val="000000"/>
        </w:rPr>
        <w:t>eau p</w:t>
      </w:r>
      <w:r w:rsidRPr="00D679B4">
        <w:rPr>
          <w:rFonts w:cs="Segoe UI"/>
          <w:i/>
          <w:color w:val="000000"/>
        </w:rPr>
        <w:t>otable (</w:t>
      </w:r>
      <w:r w:rsidR="00E57B65">
        <w:rPr>
          <w:rFonts w:cs="Segoe UI"/>
          <w:i/>
          <w:color w:val="000000"/>
        </w:rPr>
        <w:t>“</w:t>
      </w:r>
      <w:r w:rsidRPr="00D679B4">
        <w:rPr>
          <w:rFonts w:cs="Segoe UI"/>
          <w:i/>
          <w:color w:val="000000"/>
        </w:rPr>
        <w:t>AEP</w:t>
      </w:r>
      <w:r w:rsidR="00E57B65">
        <w:rPr>
          <w:rFonts w:cs="Segoe UI"/>
          <w:i/>
          <w:color w:val="000000"/>
        </w:rPr>
        <w:t>”</w:t>
      </w:r>
      <w:r w:rsidRPr="00D679B4">
        <w:rPr>
          <w:rFonts w:cs="Segoe UI"/>
          <w:i/>
          <w:color w:val="000000"/>
        </w:rPr>
        <w:t>)</w:t>
      </w:r>
      <w:r>
        <w:rPr>
          <w:rFonts w:cs="Segoe UI"/>
          <w:i/>
          <w:color w:val="000000"/>
        </w:rPr>
        <w:t>:</w:t>
      </w:r>
      <w:r w:rsidRPr="00D679B4">
        <w:rPr>
          <w:rFonts w:cs="Segoe UI"/>
          <w:color w:val="000000"/>
        </w:rPr>
        <w:t xml:space="preserve"> </w:t>
      </w:r>
      <w:r w:rsidR="00E57B65" w:rsidRPr="00D679B4">
        <w:t xml:space="preserve">Deep wells and </w:t>
      </w:r>
      <w:r w:rsidR="00E57B65" w:rsidRPr="00D679B4">
        <w:rPr>
          <w:rFonts w:cs="Segoe UI"/>
        </w:rPr>
        <w:t>boreholes</w:t>
      </w:r>
      <w:r w:rsidR="008225B2">
        <w:rPr>
          <w:rFonts w:cs="Segoe UI"/>
        </w:rPr>
        <w:t>, currently operated with either generator- or grid-power,</w:t>
      </w:r>
      <w:r w:rsidR="00E57B65" w:rsidRPr="00D679B4">
        <w:rPr>
          <w:rFonts w:cs="Segoe UI"/>
        </w:rPr>
        <w:t xml:space="preserve"> </w:t>
      </w:r>
      <w:r w:rsidR="00E57B65">
        <w:rPr>
          <w:rFonts w:cs="Segoe UI"/>
        </w:rPr>
        <w:t xml:space="preserve">with large, integrated water </w:t>
      </w:r>
      <w:r w:rsidR="00E57B65" w:rsidRPr="00DD6467">
        <w:rPr>
          <w:rFonts w:cs="Segoe UI"/>
        </w:rPr>
        <w:t xml:space="preserve">distribution </w:t>
      </w:r>
      <w:r w:rsidR="008225B2" w:rsidRPr="00DD6467">
        <w:rPr>
          <w:rFonts w:cs="Segoe UI"/>
        </w:rPr>
        <w:t xml:space="preserve">infrastructure </w:t>
      </w:r>
      <w:r w:rsidR="00E57B65" w:rsidRPr="00DD6467">
        <w:rPr>
          <w:rFonts w:cs="Segoe UI"/>
        </w:rPr>
        <w:t xml:space="preserve">for </w:t>
      </w:r>
      <w:r w:rsidRPr="00DD6467">
        <w:rPr>
          <w:rFonts w:cs="Segoe UI"/>
          <w:color w:val="000000"/>
        </w:rPr>
        <w:t>urban areas</w:t>
      </w:r>
      <w:r w:rsidR="00870BE6" w:rsidRPr="00DD6467">
        <w:rPr>
          <w:rFonts w:cs="Segoe UI"/>
          <w:color w:val="000000"/>
        </w:rPr>
        <w:t>. AEPs</w:t>
      </w:r>
      <w:r w:rsidR="00E57B65" w:rsidRPr="00DD6467">
        <w:rPr>
          <w:rFonts w:cs="Segoe UI"/>
          <w:color w:val="000000"/>
        </w:rPr>
        <w:t xml:space="preserve"> supply water</w:t>
      </w:r>
      <w:r w:rsidRPr="00DD6467">
        <w:rPr>
          <w:rFonts w:cs="Segoe UI"/>
          <w:color w:val="000000"/>
        </w:rPr>
        <w:t xml:space="preserve"> to multiple connections across user types (households, industries, public institutions and public </w:t>
      </w:r>
      <w:r w:rsidR="00E57B65" w:rsidRPr="00DD6467">
        <w:rPr>
          <w:rFonts w:cs="Segoe UI"/>
          <w:color w:val="000000"/>
        </w:rPr>
        <w:t>water fountains)</w:t>
      </w:r>
      <w:r w:rsidR="009E1CC5" w:rsidRPr="00DD6467">
        <w:rPr>
          <w:rFonts w:cs="Segoe UI"/>
          <w:color w:val="000000"/>
        </w:rPr>
        <w:t>. AEPs serve between 2</w:t>
      </w:r>
      <w:r w:rsidR="008225B2" w:rsidRPr="00DD6467">
        <w:rPr>
          <w:rFonts w:cs="Segoe UI"/>
          <w:color w:val="000000"/>
        </w:rPr>
        <w:t>,000</w:t>
      </w:r>
      <w:r w:rsidR="005B50AD" w:rsidRPr="00DD6467">
        <w:rPr>
          <w:rFonts w:cs="Segoe UI"/>
          <w:color w:val="000000"/>
        </w:rPr>
        <w:t xml:space="preserve"> to 15</w:t>
      </w:r>
      <w:r w:rsidR="008225B2" w:rsidRPr="00DD6467">
        <w:rPr>
          <w:rFonts w:cs="Segoe UI"/>
          <w:color w:val="000000"/>
        </w:rPr>
        <w:t>,000 households, as well as several hundred institutions, wate</w:t>
      </w:r>
      <w:r w:rsidR="00B33CD6" w:rsidRPr="00DD6467">
        <w:rPr>
          <w:rFonts w:cs="Segoe UI"/>
          <w:color w:val="000000"/>
        </w:rPr>
        <w:t>r fountains and industrial water</w:t>
      </w:r>
      <w:r w:rsidR="008225B2">
        <w:rPr>
          <w:rFonts w:cs="Segoe UI"/>
          <w:color w:val="000000"/>
        </w:rPr>
        <w:t xml:space="preserve"> connections.</w:t>
      </w:r>
      <w:r w:rsidR="00E57B65">
        <w:rPr>
          <w:rFonts w:cs="Segoe UI"/>
          <w:color w:val="000000"/>
        </w:rPr>
        <w:t xml:space="preserve"> </w:t>
      </w:r>
    </w:p>
    <w:p w14:paraId="2C12430E" w14:textId="14EF4895" w:rsidR="00E50AD6" w:rsidRDefault="00E50AD6" w:rsidP="00DF080F">
      <w:pPr>
        <w:autoSpaceDE w:val="0"/>
        <w:autoSpaceDN w:val="0"/>
        <w:adjustRightInd w:val="0"/>
        <w:spacing w:after="0"/>
        <w:jc w:val="both"/>
        <w:rPr>
          <w:rFonts w:cs="Segoe UI"/>
          <w:color w:val="000000"/>
        </w:rPr>
      </w:pPr>
    </w:p>
    <w:p w14:paraId="1BBD4427" w14:textId="00D2D51B" w:rsidR="00554F5A" w:rsidRDefault="00E57B65" w:rsidP="00DF080F">
      <w:pPr>
        <w:autoSpaceDE w:val="0"/>
        <w:autoSpaceDN w:val="0"/>
        <w:adjustRightInd w:val="0"/>
        <w:spacing w:after="0"/>
        <w:jc w:val="both"/>
        <w:rPr>
          <w:rFonts w:cs="Segoe UI"/>
          <w:color w:val="000000"/>
        </w:rPr>
      </w:pPr>
      <w:r>
        <w:rPr>
          <w:rFonts w:cs="Segoe UI"/>
          <w:color w:val="000000"/>
        </w:rPr>
        <w:t xml:space="preserve">The </w:t>
      </w:r>
      <w:r w:rsidR="00725ED4">
        <w:rPr>
          <w:rFonts w:cs="Segoe UI"/>
          <w:color w:val="000000"/>
        </w:rPr>
        <w:t>PC</w:t>
      </w:r>
      <w:r w:rsidR="00554F5A">
        <w:rPr>
          <w:rFonts w:cs="Segoe UI"/>
          <w:color w:val="000000"/>
        </w:rPr>
        <w:t xml:space="preserve"> and FPMH are currently equipped with handpumps but </w:t>
      </w:r>
      <w:r w:rsidR="00831991">
        <w:rPr>
          <w:rFonts w:cs="Segoe UI"/>
          <w:color w:val="000000"/>
        </w:rPr>
        <w:t xml:space="preserve">are </w:t>
      </w:r>
      <w:r w:rsidR="00554F5A">
        <w:rPr>
          <w:rFonts w:cs="Segoe UI"/>
          <w:color w:val="000000"/>
        </w:rPr>
        <w:t>a potential future market for solar water pumping technologies.</w:t>
      </w:r>
      <w:r w:rsidR="00553AE0">
        <w:rPr>
          <w:rFonts w:cs="Segoe UI"/>
          <w:color w:val="000000"/>
        </w:rPr>
        <w:t xml:space="preserve"> </w:t>
      </w:r>
    </w:p>
    <w:p w14:paraId="1525B80E" w14:textId="77777777" w:rsidR="00831991" w:rsidRDefault="00831991" w:rsidP="00DF080F">
      <w:pPr>
        <w:autoSpaceDE w:val="0"/>
        <w:autoSpaceDN w:val="0"/>
        <w:adjustRightInd w:val="0"/>
        <w:spacing w:after="0"/>
        <w:jc w:val="both"/>
        <w:rPr>
          <w:rFonts w:cs="Segoe UI"/>
          <w:color w:val="000000"/>
        </w:rPr>
      </w:pPr>
    </w:p>
    <w:p w14:paraId="2BFE6F23" w14:textId="2E45CA1B" w:rsidR="00D805E5" w:rsidRPr="00706B83" w:rsidRDefault="000A1463" w:rsidP="00706B83">
      <w:pPr>
        <w:jc w:val="both"/>
        <w:rPr>
          <w:rFonts w:cs="Segoe UI"/>
        </w:rPr>
      </w:pPr>
      <w:r w:rsidRPr="008677A5">
        <w:rPr>
          <w:rFonts w:cs="Segoe UI"/>
        </w:rPr>
        <w:t xml:space="preserve">For </w:t>
      </w:r>
      <w:r w:rsidR="000B5EB2">
        <w:rPr>
          <w:rFonts w:cs="Segoe UI"/>
        </w:rPr>
        <w:t xml:space="preserve">each type of water station, </w:t>
      </w:r>
      <w:r w:rsidRPr="008677A5">
        <w:rPr>
          <w:rFonts w:cs="Segoe UI"/>
        </w:rPr>
        <w:t xml:space="preserve">we modelled the energy required </w:t>
      </w:r>
      <w:r w:rsidR="000B5EB2">
        <w:rPr>
          <w:rFonts w:cs="Segoe UI"/>
        </w:rPr>
        <w:t xml:space="preserve">to </w:t>
      </w:r>
      <w:r w:rsidRPr="008677A5">
        <w:rPr>
          <w:rFonts w:cs="Segoe UI"/>
        </w:rPr>
        <w:t xml:space="preserve">pump </w:t>
      </w:r>
      <w:r w:rsidR="00EF0BDA">
        <w:rPr>
          <w:rFonts w:cs="Segoe UI"/>
        </w:rPr>
        <w:t xml:space="preserve">underground </w:t>
      </w:r>
      <w:r w:rsidRPr="008677A5">
        <w:rPr>
          <w:rFonts w:cs="Segoe UI"/>
        </w:rPr>
        <w:t xml:space="preserve">water to the </w:t>
      </w:r>
      <w:r w:rsidRPr="00706B83">
        <w:rPr>
          <w:rFonts w:cs="Segoe UI"/>
        </w:rPr>
        <w:t>surface factoring</w:t>
      </w:r>
      <w:r w:rsidR="0005195E" w:rsidRPr="00706B83">
        <w:rPr>
          <w:rFonts w:cs="Segoe UI"/>
        </w:rPr>
        <w:t xml:space="preserve"> in regional differences in borehole</w:t>
      </w:r>
      <w:r w:rsidRPr="00706B83">
        <w:rPr>
          <w:rFonts w:cs="Segoe UI"/>
        </w:rPr>
        <w:t xml:space="preserve"> depth</w:t>
      </w:r>
      <w:r w:rsidR="000B5EB2" w:rsidRPr="00706B83">
        <w:rPr>
          <w:rFonts w:cs="Segoe UI"/>
        </w:rPr>
        <w:t xml:space="preserve"> (i.e. groundwater levels</w:t>
      </w:r>
      <w:r w:rsidR="00EF0BDA" w:rsidRPr="00706B83">
        <w:rPr>
          <w:rFonts w:cs="Segoe UI"/>
        </w:rPr>
        <w:t xml:space="preserve"> are</w:t>
      </w:r>
      <w:r w:rsidR="000B5EB2" w:rsidRPr="00706B83">
        <w:rPr>
          <w:rFonts w:cs="Segoe UI"/>
        </w:rPr>
        <w:t xml:space="preserve"> much deeper in </w:t>
      </w:r>
      <w:r w:rsidR="00EF0BDA" w:rsidRPr="00706B83">
        <w:rPr>
          <w:rFonts w:cs="Segoe UI"/>
        </w:rPr>
        <w:t xml:space="preserve">the drier </w:t>
      </w:r>
      <w:r w:rsidRPr="00706B83">
        <w:rPr>
          <w:rFonts w:cs="Segoe UI"/>
        </w:rPr>
        <w:t xml:space="preserve">Northern </w:t>
      </w:r>
      <w:r w:rsidR="000B5EB2" w:rsidRPr="00706B83">
        <w:rPr>
          <w:rFonts w:cs="Segoe UI"/>
        </w:rPr>
        <w:t>Niger</w:t>
      </w:r>
      <w:r w:rsidR="00EF0BDA" w:rsidRPr="00706B83">
        <w:rPr>
          <w:rFonts w:cs="Segoe UI"/>
        </w:rPr>
        <w:t xml:space="preserve"> than in the south</w:t>
      </w:r>
      <w:r w:rsidR="000B5EB2" w:rsidRPr="00706B83">
        <w:rPr>
          <w:rFonts w:cs="Segoe UI"/>
        </w:rPr>
        <w:t>),</w:t>
      </w:r>
      <w:r w:rsidRPr="00706B83">
        <w:rPr>
          <w:rFonts w:cs="Segoe UI"/>
        </w:rPr>
        <w:t xml:space="preserve"> and the energy required</w:t>
      </w:r>
      <w:r w:rsidR="000B5EB2" w:rsidRPr="00706B83">
        <w:rPr>
          <w:rFonts w:cs="Segoe UI"/>
        </w:rPr>
        <w:t xml:space="preserve"> to pump the water to the relevant place of extraction.</w:t>
      </w:r>
      <w:r w:rsidR="00D805E5" w:rsidRPr="00706B83">
        <w:rPr>
          <w:rFonts w:cs="Segoe UI"/>
        </w:rPr>
        <w:t xml:space="preserve"> </w:t>
      </w:r>
      <w:r w:rsidR="00545F7A" w:rsidRPr="00706B83">
        <w:rPr>
          <w:rFonts w:cs="Segoe UI"/>
        </w:rPr>
        <w:t>Further details on the approach are available in Appendix B.</w:t>
      </w:r>
      <w:r w:rsidR="00083197" w:rsidRPr="00706B83">
        <w:rPr>
          <w:rFonts w:cs="Segoe UI"/>
        </w:rPr>
        <w:t>5</w:t>
      </w:r>
      <w:r w:rsidR="00545F7A" w:rsidRPr="00706B83">
        <w:rPr>
          <w:rFonts w:cs="Segoe UI"/>
        </w:rPr>
        <w:t xml:space="preserve">. </w:t>
      </w:r>
    </w:p>
    <w:p w14:paraId="371538A7" w14:textId="41EA8D83" w:rsidR="005D72EF" w:rsidRDefault="00545F7A" w:rsidP="00706B83">
      <w:pPr>
        <w:spacing w:before="240" w:after="240"/>
        <w:jc w:val="both"/>
        <w:rPr>
          <w:rFonts w:cs="Segoe UI"/>
        </w:rPr>
      </w:pPr>
      <w:r w:rsidRPr="00706B83">
        <w:rPr>
          <w:rFonts w:cs="Segoe UI"/>
        </w:rPr>
        <w:fldChar w:fldCharType="begin"/>
      </w:r>
      <w:r w:rsidRPr="00706B83">
        <w:rPr>
          <w:rFonts w:cs="Segoe UI"/>
        </w:rPr>
        <w:instrText xml:space="preserve"> REF _Ref477283214 \h  \* MERGEFORMAT </w:instrText>
      </w:r>
      <w:r w:rsidRPr="00706B83">
        <w:rPr>
          <w:rFonts w:cs="Segoe UI"/>
        </w:rPr>
      </w:r>
      <w:r w:rsidRPr="00706B83">
        <w:rPr>
          <w:rFonts w:cs="Segoe UI"/>
        </w:rPr>
        <w:fldChar w:fldCharType="separate"/>
      </w:r>
      <w:r w:rsidR="000D1C35">
        <w:t xml:space="preserve">Table </w:t>
      </w:r>
      <w:r w:rsidR="000D1C35">
        <w:rPr>
          <w:noProof/>
        </w:rPr>
        <w:t>23</w:t>
      </w:r>
      <w:r w:rsidRPr="00706B83">
        <w:rPr>
          <w:rFonts w:cs="Segoe UI"/>
        </w:rPr>
        <w:fldChar w:fldCharType="end"/>
      </w:r>
      <w:r w:rsidRPr="00706B83">
        <w:rPr>
          <w:rFonts w:cs="Segoe UI"/>
        </w:rPr>
        <w:t xml:space="preserve"> gives an overview of the </w:t>
      </w:r>
      <w:r w:rsidR="00D101EC" w:rsidRPr="00706B83">
        <w:rPr>
          <w:rFonts w:cs="Segoe UI"/>
        </w:rPr>
        <w:t>nationwide average size requirements for water pumps and solar systems, as well as daily electricity consumption by type of pumping station</w:t>
      </w:r>
      <w:r w:rsidR="00BD5651" w:rsidRPr="00706B83">
        <w:rPr>
          <w:rFonts w:cs="Segoe UI"/>
        </w:rPr>
        <w:t xml:space="preserve">; note that there </w:t>
      </w:r>
      <w:r w:rsidR="00856714" w:rsidRPr="00706B83">
        <w:rPr>
          <w:rFonts w:cs="Segoe UI"/>
        </w:rPr>
        <w:t>are</w:t>
      </w:r>
      <w:r w:rsidR="00BD5651" w:rsidRPr="00706B83">
        <w:rPr>
          <w:rFonts w:cs="Segoe UI"/>
        </w:rPr>
        <w:t xml:space="preserve"> significant size variances across each type of pumping station.</w:t>
      </w:r>
    </w:p>
    <w:p w14:paraId="76B0FF89" w14:textId="651517B3" w:rsidR="00257E38" w:rsidRDefault="00257E38" w:rsidP="00706B83">
      <w:pPr>
        <w:pStyle w:val="Caption"/>
        <w:jc w:val="both"/>
      </w:pPr>
      <w:bookmarkStart w:id="132" w:name="_Ref477283214"/>
      <w:bookmarkStart w:id="133" w:name="_Toc500969387"/>
      <w:r>
        <w:lastRenderedPageBreak/>
        <w:t xml:space="preserve">Table </w:t>
      </w:r>
      <w:fldSimple w:instr=" SEQ Table \* ARABIC ">
        <w:r w:rsidR="000D1C35">
          <w:rPr>
            <w:noProof/>
          </w:rPr>
          <w:t>23</w:t>
        </w:r>
      </w:fldSimple>
      <w:bookmarkEnd w:id="132"/>
      <w:r>
        <w:t xml:space="preserve">: </w:t>
      </w:r>
      <w:r w:rsidR="000A19BA">
        <w:t>A</w:t>
      </w:r>
      <w:r>
        <w:t>verage pump size, electricity consumption, and solar system size by pumping station</w:t>
      </w:r>
      <w:bookmarkEnd w:id="133"/>
    </w:p>
    <w:p w14:paraId="790EB954" w14:textId="3F363151" w:rsidR="00D101EC" w:rsidRDefault="006C5D36" w:rsidP="007432C2">
      <w:pPr>
        <w:spacing w:before="240" w:after="240"/>
        <w:jc w:val="both"/>
        <w:rPr>
          <w:rFonts w:cs="Segoe UI"/>
        </w:rPr>
      </w:pPr>
      <w:r w:rsidRPr="006C5D36">
        <w:rPr>
          <w:noProof/>
        </w:rPr>
        <w:drawing>
          <wp:inline distT="0" distB="0" distL="0" distR="0" wp14:anchorId="7EC72593" wp14:editId="00D975F0">
            <wp:extent cx="5285232" cy="813816"/>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5232" cy="813816"/>
                    </a:xfrm>
                    <a:prstGeom prst="rect">
                      <a:avLst/>
                    </a:prstGeom>
                    <a:noFill/>
                    <a:ln>
                      <a:noFill/>
                    </a:ln>
                  </pic:spPr>
                </pic:pic>
              </a:graphicData>
            </a:graphic>
          </wp:inline>
        </w:drawing>
      </w:r>
    </w:p>
    <w:p w14:paraId="0483A7E3" w14:textId="493EDFB7" w:rsidR="00E50AD6" w:rsidRPr="0089571E" w:rsidRDefault="00E50AD6" w:rsidP="00955049">
      <w:pPr>
        <w:pStyle w:val="H4NEWreportStyle"/>
      </w:pPr>
      <w:r w:rsidRPr="0089571E">
        <w:t>Business case</w:t>
      </w:r>
    </w:p>
    <w:p w14:paraId="48B38B39" w14:textId="0E503819" w:rsidR="00A64AD1" w:rsidRDefault="00A64AD1" w:rsidP="004310B3">
      <w:pPr>
        <w:jc w:val="both"/>
        <w:rPr>
          <w:rFonts w:cs="Segoe UI"/>
        </w:rPr>
      </w:pPr>
      <w:r>
        <w:rPr>
          <w:rFonts w:cs="Segoe UI"/>
        </w:rPr>
        <w:t xml:space="preserve">We first assess the annualized cost of different energy sources to power the pumping stations; </w:t>
      </w:r>
      <w:r w:rsidR="00C37313">
        <w:rPr>
          <w:rFonts w:cs="Segoe UI"/>
        </w:rPr>
        <w:t xml:space="preserve">the outcome of this analysis, on </w:t>
      </w:r>
      <w:r>
        <w:rPr>
          <w:rFonts w:cs="Segoe UI"/>
        </w:rPr>
        <w:t xml:space="preserve">Region-level average, </w:t>
      </w:r>
      <w:r w:rsidR="00C37313">
        <w:rPr>
          <w:rFonts w:cs="Segoe UI"/>
        </w:rPr>
        <w:t xml:space="preserve">is shown below in </w:t>
      </w:r>
      <w:r w:rsidR="00C37313">
        <w:rPr>
          <w:rFonts w:cs="Segoe UI"/>
        </w:rPr>
        <w:fldChar w:fldCharType="begin"/>
      </w:r>
      <w:r w:rsidR="00C37313">
        <w:rPr>
          <w:rFonts w:cs="Segoe UI"/>
        </w:rPr>
        <w:instrText xml:space="preserve"> REF _Ref477436157 \h </w:instrText>
      </w:r>
      <w:r w:rsidR="00C37313">
        <w:rPr>
          <w:rFonts w:cs="Segoe UI"/>
        </w:rPr>
      </w:r>
      <w:r w:rsidR="00C37313">
        <w:rPr>
          <w:rFonts w:cs="Segoe UI"/>
        </w:rPr>
        <w:fldChar w:fldCharType="separate"/>
      </w:r>
      <w:r w:rsidR="000D1C35">
        <w:t xml:space="preserve">Table </w:t>
      </w:r>
      <w:r w:rsidR="000D1C35">
        <w:rPr>
          <w:noProof/>
        </w:rPr>
        <w:t>24</w:t>
      </w:r>
      <w:r w:rsidR="00C37313">
        <w:rPr>
          <w:rFonts w:cs="Segoe UI"/>
        </w:rPr>
        <w:fldChar w:fldCharType="end"/>
      </w:r>
      <w:r w:rsidR="00C37313">
        <w:rPr>
          <w:rFonts w:cs="Segoe UI"/>
        </w:rPr>
        <w:t xml:space="preserve">. </w:t>
      </w:r>
    </w:p>
    <w:p w14:paraId="0B5DE7F4" w14:textId="02DDB295" w:rsidR="00C37313" w:rsidRDefault="00C37313" w:rsidP="00C37313">
      <w:pPr>
        <w:pStyle w:val="Caption"/>
        <w:jc w:val="both"/>
      </w:pPr>
      <w:bookmarkStart w:id="134" w:name="_Ref477436157"/>
      <w:bookmarkStart w:id="135" w:name="_Toc500969388"/>
      <w:r>
        <w:t xml:space="preserve">Table </w:t>
      </w:r>
      <w:fldSimple w:instr=" SEQ Table \* ARABIC ">
        <w:r w:rsidR="000D1C35">
          <w:rPr>
            <w:noProof/>
          </w:rPr>
          <w:t>24</w:t>
        </w:r>
      </w:fldSimple>
      <w:bookmarkEnd w:id="134"/>
      <w:r>
        <w:t>: Overview of annualized costs of different power alternatives for pumping stations</w:t>
      </w:r>
      <w:bookmarkEnd w:id="135"/>
    </w:p>
    <w:p w14:paraId="59AB6CB5" w14:textId="5331DAD6" w:rsidR="00A64AD1" w:rsidRDefault="008E4FEF" w:rsidP="004310B3">
      <w:pPr>
        <w:jc w:val="both"/>
        <w:rPr>
          <w:rFonts w:cs="Segoe UI"/>
        </w:rPr>
      </w:pPr>
      <w:r w:rsidRPr="008E4FEF">
        <w:rPr>
          <w:noProof/>
        </w:rPr>
        <w:drawing>
          <wp:inline distT="0" distB="0" distL="0" distR="0" wp14:anchorId="69DAFD1F" wp14:editId="16EB8490">
            <wp:extent cx="4434840" cy="4133088"/>
            <wp:effectExtent l="0" t="0" r="381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4840" cy="4133088"/>
                    </a:xfrm>
                    <a:prstGeom prst="rect">
                      <a:avLst/>
                    </a:prstGeom>
                    <a:noFill/>
                    <a:ln>
                      <a:noFill/>
                    </a:ln>
                  </pic:spPr>
                </pic:pic>
              </a:graphicData>
            </a:graphic>
          </wp:inline>
        </w:drawing>
      </w:r>
    </w:p>
    <w:p w14:paraId="08600B33" w14:textId="301CA845" w:rsidR="0089571E" w:rsidRDefault="0089571E" w:rsidP="004310B3">
      <w:pPr>
        <w:jc w:val="both"/>
        <w:rPr>
          <w:rFonts w:cs="Segoe UI"/>
        </w:rPr>
      </w:pPr>
      <w:r>
        <w:rPr>
          <w:rFonts w:cs="Segoe UI"/>
        </w:rPr>
        <w:t xml:space="preserve">While we show the business case </w:t>
      </w:r>
      <w:r w:rsidR="00DF4F69">
        <w:rPr>
          <w:rFonts w:cs="Segoe UI"/>
        </w:rPr>
        <w:t>for solar as compared to diesel-generators and grid power, consultations have revea</w:t>
      </w:r>
      <w:r w:rsidR="00725ED4">
        <w:rPr>
          <w:rFonts w:cs="Segoe UI"/>
        </w:rPr>
        <w:t>led that the vast majority of PC</w:t>
      </w:r>
      <w:r w:rsidR="00DF4F69">
        <w:rPr>
          <w:rFonts w:cs="Segoe UI"/>
        </w:rPr>
        <w:t>, FPMH, PEA, SPP, and Mini-AEPs are in off-grid areas, leaving only hand pumping or generator-powered pumping as alternative</w:t>
      </w:r>
      <w:r w:rsidR="0016276C">
        <w:rPr>
          <w:rFonts w:cs="Segoe UI"/>
        </w:rPr>
        <w:t>s</w:t>
      </w:r>
      <w:r w:rsidR="00DF4F69">
        <w:rPr>
          <w:rFonts w:cs="Segoe UI"/>
        </w:rPr>
        <w:t>. In contrast, the AEPs are the urban water providers, and based on our understanding, all grid-powered.</w:t>
      </w:r>
    </w:p>
    <w:p w14:paraId="75F65D68" w14:textId="42BBB82C" w:rsidR="004310B3" w:rsidRDefault="00E50AD6" w:rsidP="004310B3">
      <w:pPr>
        <w:jc w:val="both"/>
        <w:rPr>
          <w:rFonts w:cs="Segoe UI"/>
        </w:rPr>
      </w:pPr>
      <w:r w:rsidRPr="008677A5">
        <w:rPr>
          <w:rFonts w:cs="Segoe UI"/>
        </w:rPr>
        <w:t xml:space="preserve">Based on the power needs </w:t>
      </w:r>
      <w:r w:rsidR="00405042">
        <w:rPr>
          <w:rFonts w:cs="Segoe UI"/>
        </w:rPr>
        <w:t xml:space="preserve">of the </w:t>
      </w:r>
      <w:r w:rsidRPr="008677A5">
        <w:rPr>
          <w:rFonts w:cs="Segoe UI"/>
        </w:rPr>
        <w:t>water station</w:t>
      </w:r>
      <w:r w:rsidR="00405042">
        <w:rPr>
          <w:rFonts w:cs="Segoe UI"/>
        </w:rPr>
        <w:t>s</w:t>
      </w:r>
      <w:r w:rsidRPr="008677A5">
        <w:rPr>
          <w:rFonts w:cs="Segoe UI"/>
        </w:rPr>
        <w:t xml:space="preserve">, we find </w:t>
      </w:r>
      <w:r w:rsidR="00405042">
        <w:rPr>
          <w:rFonts w:cs="Segoe UI"/>
        </w:rPr>
        <w:t>a</w:t>
      </w:r>
      <w:r w:rsidRPr="008677A5">
        <w:rPr>
          <w:rFonts w:cs="Segoe UI"/>
        </w:rPr>
        <w:t xml:space="preserve"> positive business case for </w:t>
      </w:r>
      <w:r w:rsidR="00835188">
        <w:rPr>
          <w:rFonts w:cs="Segoe UI"/>
        </w:rPr>
        <w:t>all pumping stations from using solar rather than diesel powered generators. The analysis also reveals that there is frequently a business case for using solar over the grid</w:t>
      </w:r>
      <w:r w:rsidR="00C64213">
        <w:rPr>
          <w:rFonts w:cs="Segoe UI"/>
        </w:rPr>
        <w:t xml:space="preserve"> for large pumping stations of 8</w:t>
      </w:r>
      <w:r w:rsidR="00835188">
        <w:rPr>
          <w:rFonts w:cs="Segoe UI"/>
        </w:rPr>
        <w:t xml:space="preserve"> kW and above. Our analysis is </w:t>
      </w:r>
      <w:r w:rsidR="00835188">
        <w:rPr>
          <w:rFonts w:cs="Segoe UI"/>
        </w:rPr>
        <w:lastRenderedPageBreak/>
        <w:t>purely based on direct equipment cost, including replacement components, but does not account for additional operating expenses that would be incurred to manage large scale solar production facilities</w:t>
      </w:r>
      <w:r w:rsidR="008526AC">
        <w:rPr>
          <w:rFonts w:cs="Segoe UI"/>
        </w:rPr>
        <w:t xml:space="preserve">. </w:t>
      </w:r>
      <w:r w:rsidR="009B10DA">
        <w:rPr>
          <w:rFonts w:cs="Segoe UI"/>
        </w:rPr>
        <w:t xml:space="preserve">In addition, such solar production sites would require vast land areas, which are not always available in direct proximity </w:t>
      </w:r>
      <w:r w:rsidR="0016276C">
        <w:rPr>
          <w:rFonts w:cs="Segoe UI"/>
        </w:rPr>
        <w:t xml:space="preserve">to </w:t>
      </w:r>
      <w:r w:rsidR="009B10DA">
        <w:rPr>
          <w:rFonts w:cs="Segoe UI"/>
        </w:rPr>
        <w:t>water stations, especially for AEPs in urban locations.</w:t>
      </w:r>
      <w:r w:rsidR="00835188">
        <w:rPr>
          <w:rFonts w:cs="Segoe UI"/>
        </w:rPr>
        <w:t xml:space="preserve"> </w:t>
      </w:r>
      <w:r w:rsidR="00871E0B">
        <w:rPr>
          <w:rFonts w:cs="Segoe UI"/>
        </w:rPr>
        <w:t xml:space="preserve">A breakdown of the business case by type of water station and region is provided in </w:t>
      </w:r>
      <w:r w:rsidR="00871E0B">
        <w:rPr>
          <w:rFonts w:cs="Segoe UI"/>
        </w:rPr>
        <w:fldChar w:fldCharType="begin"/>
      </w:r>
      <w:r w:rsidR="00871E0B">
        <w:rPr>
          <w:rFonts w:cs="Segoe UI"/>
        </w:rPr>
        <w:instrText xml:space="preserve"> REF _Ref469333841 </w:instrText>
      </w:r>
      <w:r w:rsidR="00871E0B">
        <w:rPr>
          <w:rFonts w:cs="Segoe UI"/>
        </w:rPr>
        <w:fldChar w:fldCharType="separate"/>
      </w:r>
      <w:r w:rsidR="000D1C35">
        <w:t xml:space="preserve">Table </w:t>
      </w:r>
      <w:r w:rsidR="000D1C35">
        <w:rPr>
          <w:noProof/>
        </w:rPr>
        <w:t>25</w:t>
      </w:r>
      <w:r w:rsidR="00871E0B">
        <w:rPr>
          <w:rFonts w:cs="Segoe UI"/>
        </w:rPr>
        <w:fldChar w:fldCharType="end"/>
      </w:r>
      <w:r w:rsidR="001E27DE">
        <w:rPr>
          <w:rFonts w:cs="Segoe UI"/>
        </w:rPr>
        <w:t>.</w:t>
      </w:r>
      <w:r w:rsidR="004310B3">
        <w:rPr>
          <w:rFonts w:cs="Segoe UI"/>
        </w:rPr>
        <w:t xml:space="preserve"> </w:t>
      </w:r>
    </w:p>
    <w:p w14:paraId="67BEF8E1" w14:textId="11590C15" w:rsidR="003E4941" w:rsidRDefault="003E4941" w:rsidP="0099462C">
      <w:pPr>
        <w:pStyle w:val="Caption"/>
      </w:pPr>
      <w:bookmarkStart w:id="136" w:name="_Ref469333841"/>
      <w:bookmarkStart w:id="137" w:name="_Toc500969389"/>
      <w:r>
        <w:t xml:space="preserve">Table </w:t>
      </w:r>
      <w:fldSimple w:instr=" SEQ Table \* ARABIC ">
        <w:r w:rsidR="000D1C35">
          <w:rPr>
            <w:noProof/>
          </w:rPr>
          <w:t>25</w:t>
        </w:r>
      </w:fldSimple>
      <w:bookmarkEnd w:id="136"/>
      <w:r>
        <w:t xml:space="preserve">: Annualized cost savings of switching </w:t>
      </w:r>
      <w:r w:rsidR="00B42A96">
        <w:t>to solar power for water pumping stations</w:t>
      </w:r>
      <w:bookmarkEnd w:id="137"/>
    </w:p>
    <w:p w14:paraId="0CF04CF7" w14:textId="3CF38B2E" w:rsidR="004310B3" w:rsidRDefault="00763C98" w:rsidP="009769AD">
      <w:pPr>
        <w:rPr>
          <w:rFonts w:cs="Segoe UI"/>
        </w:rPr>
      </w:pPr>
      <w:r w:rsidRPr="00763C98">
        <w:rPr>
          <w:noProof/>
        </w:rPr>
        <w:drawing>
          <wp:inline distT="0" distB="0" distL="0" distR="0" wp14:anchorId="36874AB8" wp14:editId="50D588CA">
            <wp:extent cx="4471416" cy="278892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1416" cy="2788920"/>
                    </a:xfrm>
                    <a:prstGeom prst="rect">
                      <a:avLst/>
                    </a:prstGeom>
                    <a:noFill/>
                    <a:ln>
                      <a:noFill/>
                    </a:ln>
                  </pic:spPr>
                </pic:pic>
              </a:graphicData>
            </a:graphic>
          </wp:inline>
        </w:drawing>
      </w:r>
    </w:p>
    <w:p w14:paraId="0122EC9D" w14:textId="03791BB9" w:rsidR="00897434" w:rsidRDefault="00370A95" w:rsidP="00D71863">
      <w:pPr>
        <w:jc w:val="both"/>
        <w:rPr>
          <w:rFonts w:cs="Segoe UI"/>
        </w:rPr>
      </w:pPr>
      <w:r>
        <w:rPr>
          <w:rFonts w:cs="Segoe UI"/>
        </w:rPr>
        <w:t xml:space="preserve">Variations in the percentage of average annualized cost savings are, to some extent, also driven by the </w:t>
      </w:r>
      <w:r w:rsidR="00D71863">
        <w:rPr>
          <w:rFonts w:cs="Segoe UI"/>
        </w:rPr>
        <w:t>modelling approach, i.e.</w:t>
      </w:r>
      <w:r w:rsidR="00897434">
        <w:rPr>
          <w:rFonts w:cs="Segoe UI"/>
        </w:rPr>
        <w:t xml:space="preserve"> marginal increases in power needs lead to a significant</w:t>
      </w:r>
      <w:r w:rsidR="00D71863">
        <w:rPr>
          <w:rFonts w:cs="Segoe UI"/>
        </w:rPr>
        <w:t xml:space="preserve"> jump in investment levels </w:t>
      </w:r>
      <w:r w:rsidR="00897434">
        <w:rPr>
          <w:rFonts w:cs="Segoe UI"/>
        </w:rPr>
        <w:t>for solar tech</w:t>
      </w:r>
      <w:r>
        <w:rPr>
          <w:rFonts w:cs="Segoe UI"/>
        </w:rPr>
        <w:t>nology as larger system sizes are required.</w:t>
      </w:r>
    </w:p>
    <w:p w14:paraId="4B4FA22C" w14:textId="77C507F1" w:rsidR="0092674A" w:rsidRPr="008D12C4" w:rsidRDefault="00C93311" w:rsidP="008D12C4">
      <w:pPr>
        <w:jc w:val="both"/>
        <w:rPr>
          <w:rFonts w:cs="Segoe UI"/>
        </w:rPr>
      </w:pPr>
      <w:r>
        <w:rPr>
          <w:rFonts w:cs="Segoe UI"/>
        </w:rPr>
        <w:t>Besides powered water pumping solutions, hand pumping is a feasible alternative for smaller pumping statio</w:t>
      </w:r>
      <w:r w:rsidR="00725ED4">
        <w:rPr>
          <w:rFonts w:cs="Segoe UI"/>
        </w:rPr>
        <w:t>ns, and is currently used for PC</w:t>
      </w:r>
      <w:r>
        <w:rPr>
          <w:rFonts w:cs="Segoe UI"/>
        </w:rPr>
        <w:t xml:space="preserve">s and FPMHs. </w:t>
      </w:r>
      <w:r w:rsidR="00AB5E20">
        <w:rPr>
          <w:rFonts w:cs="Segoe UI"/>
        </w:rPr>
        <w:t>Consultations reveal</w:t>
      </w:r>
      <w:r w:rsidR="00FE289D">
        <w:rPr>
          <w:rFonts w:cs="Segoe UI"/>
        </w:rPr>
        <w:t>ed that, purely from an initial investment cost perspective</w:t>
      </w:r>
      <w:r w:rsidR="00D67A83">
        <w:rPr>
          <w:rStyle w:val="FootnoteReference"/>
          <w:rFonts w:cs="Segoe UI"/>
        </w:rPr>
        <w:footnoteReference w:id="54"/>
      </w:r>
      <w:r w:rsidR="00FE289D">
        <w:rPr>
          <w:rFonts w:cs="Segoe UI"/>
        </w:rPr>
        <w:t xml:space="preserve">, solar systems are currently priced </w:t>
      </w:r>
      <w:r w:rsidR="00D67A83">
        <w:rPr>
          <w:rFonts w:cs="Segoe UI"/>
        </w:rPr>
        <w:t>too</w:t>
      </w:r>
      <w:r w:rsidR="00FE289D">
        <w:rPr>
          <w:rFonts w:cs="Segoe UI"/>
        </w:rPr>
        <w:t xml:space="preserve"> high to compete with handpumps. Handpumps will typ</w:t>
      </w:r>
      <w:r w:rsidR="00D67A83">
        <w:rPr>
          <w:rFonts w:cs="Segoe UI"/>
        </w:rPr>
        <w:t>ically not require</w:t>
      </w:r>
      <w:r w:rsidR="00FE289D">
        <w:rPr>
          <w:rFonts w:cs="Segoe UI"/>
        </w:rPr>
        <w:t xml:space="preserve"> any replacement parts over a lifetime of up to five t</w:t>
      </w:r>
      <w:r w:rsidR="00F40484">
        <w:rPr>
          <w:rFonts w:cs="Segoe UI"/>
        </w:rPr>
        <w:t>o ten years, if well maintained;</w:t>
      </w:r>
      <w:r w:rsidR="00FE289D">
        <w:rPr>
          <w:rFonts w:cs="Segoe UI"/>
        </w:rPr>
        <w:t xml:space="preserve"> and for </w:t>
      </w:r>
      <w:r w:rsidR="00843390">
        <w:rPr>
          <w:rFonts w:cs="Segoe UI"/>
        </w:rPr>
        <w:t>example,</w:t>
      </w:r>
      <w:r w:rsidR="00FE289D">
        <w:rPr>
          <w:rFonts w:cs="Segoe UI"/>
        </w:rPr>
        <w:t xml:space="preserve"> </w:t>
      </w:r>
      <w:r w:rsidR="007026BC">
        <w:rPr>
          <w:rFonts w:cs="Segoe UI"/>
        </w:rPr>
        <w:t xml:space="preserve">a </w:t>
      </w:r>
      <w:r w:rsidR="006C473F">
        <w:rPr>
          <w:rFonts w:cs="Segoe UI"/>
        </w:rPr>
        <w:t xml:space="preserve">treadle </w:t>
      </w:r>
      <w:r w:rsidR="007026BC">
        <w:rPr>
          <w:rFonts w:cs="Segoe UI"/>
        </w:rPr>
        <w:t>pump we looked at</w:t>
      </w:r>
      <w:r w:rsidR="00FE289D">
        <w:rPr>
          <w:rFonts w:cs="Segoe UI"/>
        </w:rPr>
        <w:t xml:space="preserve"> – which </w:t>
      </w:r>
      <w:r w:rsidR="007026BC">
        <w:rPr>
          <w:rFonts w:cs="Segoe UI"/>
        </w:rPr>
        <w:t xml:space="preserve">is </w:t>
      </w:r>
      <w:r w:rsidR="00FE289D">
        <w:rPr>
          <w:rFonts w:cs="Segoe UI"/>
        </w:rPr>
        <w:t>suited to pull water up out of depths to seven mete</w:t>
      </w:r>
      <w:r w:rsidR="0016276C">
        <w:rPr>
          <w:rFonts w:cs="Segoe UI"/>
        </w:rPr>
        <w:t xml:space="preserve">rs – </w:t>
      </w:r>
      <w:r w:rsidR="007026BC">
        <w:rPr>
          <w:rFonts w:cs="Segoe UI"/>
        </w:rPr>
        <w:t xml:space="preserve">is </w:t>
      </w:r>
      <w:r w:rsidR="0016276C">
        <w:rPr>
          <w:rFonts w:cs="Segoe UI"/>
        </w:rPr>
        <w:t>priced</w:t>
      </w:r>
      <w:r w:rsidR="00FE289D">
        <w:rPr>
          <w:rFonts w:cs="Segoe UI"/>
        </w:rPr>
        <w:t xml:space="preserve"> at around US $70 for the cheap alternative and US $170 for the more technically-sophisticated alternative.</w:t>
      </w:r>
      <w:r w:rsidR="009B6AC7">
        <w:rPr>
          <w:rStyle w:val="FootnoteReference"/>
          <w:rFonts w:cs="Segoe UI"/>
        </w:rPr>
        <w:footnoteReference w:id="55"/>
      </w:r>
    </w:p>
    <w:p w14:paraId="42443A7B" w14:textId="3F6CA6D8" w:rsidR="00E50AD6" w:rsidRPr="008677A5" w:rsidRDefault="00E50AD6" w:rsidP="00955049">
      <w:pPr>
        <w:pStyle w:val="H4NEWreportStyle"/>
      </w:pPr>
      <w:r w:rsidRPr="008677A5">
        <w:t>Market size</w:t>
      </w:r>
    </w:p>
    <w:p w14:paraId="71D99D8C" w14:textId="6D5E025D" w:rsidR="001D397B" w:rsidRDefault="0092674A" w:rsidP="0092674A">
      <w:pPr>
        <w:jc w:val="both"/>
        <w:rPr>
          <w:rFonts w:cs="Segoe UI"/>
        </w:rPr>
      </w:pPr>
      <w:r>
        <w:rPr>
          <w:rFonts w:cs="Segoe UI"/>
        </w:rPr>
        <w:t xml:space="preserve">As shown in </w:t>
      </w:r>
      <w:r>
        <w:rPr>
          <w:rFonts w:cs="Segoe UI"/>
        </w:rPr>
        <w:fldChar w:fldCharType="begin"/>
      </w:r>
      <w:r>
        <w:rPr>
          <w:rFonts w:cs="Segoe UI"/>
        </w:rPr>
        <w:instrText xml:space="preserve"> REF _Ref469336360  \* MERGEFORMAT </w:instrText>
      </w:r>
      <w:r>
        <w:rPr>
          <w:rFonts w:cs="Segoe UI"/>
        </w:rPr>
        <w:fldChar w:fldCharType="separate"/>
      </w:r>
      <w:r w:rsidR="000D1C35">
        <w:t xml:space="preserve">Table </w:t>
      </w:r>
      <w:r w:rsidR="000D1C35">
        <w:rPr>
          <w:noProof/>
        </w:rPr>
        <w:t>26</w:t>
      </w:r>
      <w:r>
        <w:rPr>
          <w:rFonts w:cs="Segoe UI"/>
        </w:rPr>
        <w:fldChar w:fldCharType="end"/>
      </w:r>
      <w:r>
        <w:rPr>
          <w:rFonts w:cs="Segoe UI"/>
        </w:rPr>
        <w:t>, for</w:t>
      </w:r>
      <w:r w:rsidR="00A427D2">
        <w:rPr>
          <w:rFonts w:cs="Segoe UI"/>
        </w:rPr>
        <w:t xml:space="preserve"> market sizing purposes</w:t>
      </w:r>
      <w:r w:rsidR="0016276C">
        <w:rPr>
          <w:rFonts w:cs="Segoe UI"/>
        </w:rPr>
        <w:t>,</w:t>
      </w:r>
      <w:r w:rsidR="00A427D2">
        <w:rPr>
          <w:rFonts w:cs="Segoe UI"/>
        </w:rPr>
        <w:t xml:space="preserve"> we have assumed that all rural water points can use either </w:t>
      </w:r>
      <w:r w:rsidR="005D11D9">
        <w:rPr>
          <w:rFonts w:cs="Segoe UI"/>
        </w:rPr>
        <w:t xml:space="preserve">hand pumps, </w:t>
      </w:r>
      <w:r w:rsidR="00A427D2">
        <w:rPr>
          <w:rFonts w:cs="Segoe UI"/>
        </w:rPr>
        <w:t>generator power or solar power</w:t>
      </w:r>
      <w:r w:rsidR="0016276C">
        <w:rPr>
          <w:rFonts w:cs="Segoe UI"/>
        </w:rPr>
        <w:t>, and that</w:t>
      </w:r>
      <w:r w:rsidR="00A427D2">
        <w:rPr>
          <w:rFonts w:cs="Segoe UI"/>
        </w:rPr>
        <w:t xml:space="preserve"> the urban AEPs are all powered by the grid</w:t>
      </w:r>
      <w:r w:rsidR="005D11D9">
        <w:rPr>
          <w:rFonts w:cs="Segoe UI"/>
        </w:rPr>
        <w:t xml:space="preserve">. </w:t>
      </w:r>
      <w:r w:rsidR="00A427D2">
        <w:rPr>
          <w:rFonts w:cs="Segoe UI"/>
        </w:rPr>
        <w:t>Currently, PC a</w:t>
      </w:r>
      <w:r w:rsidR="001E1AF9">
        <w:rPr>
          <w:rFonts w:cs="Segoe UI"/>
        </w:rPr>
        <w:t xml:space="preserve">nd FPM H </w:t>
      </w:r>
      <w:r w:rsidR="0016276C">
        <w:rPr>
          <w:rFonts w:cs="Segoe UI"/>
        </w:rPr>
        <w:t xml:space="preserve">water pumping stations </w:t>
      </w:r>
      <w:r w:rsidR="001E1AF9">
        <w:rPr>
          <w:rFonts w:cs="Segoe UI"/>
        </w:rPr>
        <w:t xml:space="preserve">only have manual pumps; we have assumed that 20% of these pumping stations are accessible for solar technology, and the remaining 80% </w:t>
      </w:r>
      <w:r w:rsidR="000A0EC3">
        <w:rPr>
          <w:rFonts w:cs="Segoe UI"/>
        </w:rPr>
        <w:t>represent</w:t>
      </w:r>
      <w:r w:rsidR="001E1AF9">
        <w:rPr>
          <w:rFonts w:cs="Segoe UI"/>
        </w:rPr>
        <w:t xml:space="preserve"> a </w:t>
      </w:r>
      <w:r w:rsidR="00A427D2">
        <w:rPr>
          <w:rFonts w:cs="Segoe UI"/>
        </w:rPr>
        <w:t xml:space="preserve">potential </w:t>
      </w:r>
      <w:r w:rsidR="00A427D2">
        <w:rPr>
          <w:rFonts w:cs="Segoe UI"/>
        </w:rPr>
        <w:lastRenderedPageBreak/>
        <w:t>future market</w:t>
      </w:r>
      <w:r w:rsidR="00747F42">
        <w:rPr>
          <w:rFonts w:cs="Segoe UI"/>
        </w:rPr>
        <w:t xml:space="preserve"> opportunity when </w:t>
      </w:r>
      <w:r w:rsidR="001D397B">
        <w:rPr>
          <w:rFonts w:cs="Segoe UI"/>
        </w:rPr>
        <w:t xml:space="preserve">affordability challenges </w:t>
      </w:r>
      <w:r w:rsidR="0091735E">
        <w:rPr>
          <w:rFonts w:cs="Segoe UI"/>
        </w:rPr>
        <w:t xml:space="preserve">can be </w:t>
      </w:r>
      <w:r w:rsidR="001D397B">
        <w:rPr>
          <w:rFonts w:cs="Segoe UI"/>
        </w:rPr>
        <w:t xml:space="preserve">overcome, either through technology cost reductions </w:t>
      </w:r>
      <w:r w:rsidR="00401E80">
        <w:rPr>
          <w:rFonts w:cs="Segoe UI"/>
        </w:rPr>
        <w:t>and/</w:t>
      </w:r>
      <w:r w:rsidR="001D397B">
        <w:rPr>
          <w:rFonts w:cs="Segoe UI"/>
        </w:rPr>
        <w:t xml:space="preserve">or </w:t>
      </w:r>
      <w:r w:rsidR="00401E80">
        <w:rPr>
          <w:rFonts w:cs="Segoe UI"/>
        </w:rPr>
        <w:t>if suitable</w:t>
      </w:r>
      <w:r w:rsidR="001D397B">
        <w:rPr>
          <w:rFonts w:cs="Segoe UI"/>
        </w:rPr>
        <w:t xml:space="preserve"> financi</w:t>
      </w:r>
      <w:r w:rsidR="00401E80">
        <w:rPr>
          <w:rFonts w:cs="Segoe UI"/>
        </w:rPr>
        <w:t xml:space="preserve">ng </w:t>
      </w:r>
      <w:r w:rsidR="001D397B">
        <w:rPr>
          <w:rFonts w:cs="Segoe UI"/>
        </w:rPr>
        <w:t>become</w:t>
      </w:r>
      <w:r w:rsidR="00401E80">
        <w:rPr>
          <w:rFonts w:cs="Segoe UI"/>
        </w:rPr>
        <w:t>s</w:t>
      </w:r>
      <w:r w:rsidR="001D397B">
        <w:rPr>
          <w:rFonts w:cs="Segoe UI"/>
        </w:rPr>
        <w:t xml:space="preserve"> available. </w:t>
      </w:r>
    </w:p>
    <w:p w14:paraId="49630CAF" w14:textId="6A952EDB" w:rsidR="0092674A" w:rsidRDefault="0092674A" w:rsidP="0099462C">
      <w:pPr>
        <w:pStyle w:val="Caption"/>
      </w:pPr>
      <w:bookmarkStart w:id="138" w:name="_Ref469336360"/>
      <w:bookmarkStart w:id="139" w:name="_Toc500969390"/>
      <w:r>
        <w:t xml:space="preserve">Table </w:t>
      </w:r>
      <w:fldSimple w:instr=" SEQ Table \* ARABIC ">
        <w:r w:rsidR="000D1C35">
          <w:rPr>
            <w:noProof/>
          </w:rPr>
          <w:t>26</w:t>
        </w:r>
      </w:fldSimple>
      <w:bookmarkEnd w:id="138"/>
      <w:r>
        <w:t>: Assumptions on alternative power sources for water providers</w:t>
      </w:r>
      <w:bookmarkEnd w:id="139"/>
    </w:p>
    <w:tbl>
      <w:tblPr>
        <w:tblStyle w:val="GridTable6Colorful"/>
        <w:tblW w:w="0" w:type="auto"/>
        <w:tblLook w:val="04A0" w:firstRow="1" w:lastRow="0" w:firstColumn="1" w:lastColumn="0" w:noHBand="0" w:noVBand="1"/>
      </w:tblPr>
      <w:tblGrid>
        <w:gridCol w:w="2335"/>
        <w:gridCol w:w="1802"/>
        <w:gridCol w:w="1802"/>
        <w:gridCol w:w="2069"/>
      </w:tblGrid>
      <w:tr w:rsidR="005D11D9" w:rsidRPr="003202BB" w14:paraId="654554D6" w14:textId="77777777" w:rsidTr="00D746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tcPr>
          <w:p w14:paraId="6657380C" w14:textId="77777777" w:rsidR="005D11D9" w:rsidRPr="003202BB" w:rsidRDefault="005D11D9" w:rsidP="00725CB5">
            <w:pPr>
              <w:jc w:val="both"/>
              <w:rPr>
                <w:rFonts w:cs="Segoe UI"/>
                <w:sz w:val="18"/>
                <w:szCs w:val="18"/>
              </w:rPr>
            </w:pPr>
          </w:p>
        </w:tc>
        <w:tc>
          <w:tcPr>
            <w:tcW w:w="1802" w:type="dxa"/>
          </w:tcPr>
          <w:p w14:paraId="2A22A3B7" w14:textId="77777777" w:rsidR="005D11D9" w:rsidRDefault="005D11D9" w:rsidP="00725CB5">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Manual </w:t>
            </w:r>
          </w:p>
          <w:p w14:paraId="3C8A75BB" w14:textId="6DDE33C1" w:rsidR="005D11D9" w:rsidRPr="003202BB" w:rsidRDefault="005D11D9" w:rsidP="00725CB5">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(Hand pumps)</w:t>
            </w:r>
          </w:p>
        </w:tc>
        <w:tc>
          <w:tcPr>
            <w:tcW w:w="1802" w:type="dxa"/>
          </w:tcPr>
          <w:p w14:paraId="3B0E1D5F" w14:textId="7ED50F24" w:rsidR="005D11D9" w:rsidRPr="003202BB" w:rsidRDefault="005D11D9" w:rsidP="00725CB5">
            <w:pPr>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Diesel-g</w:t>
            </w:r>
            <w:r w:rsidRPr="003202BB">
              <w:rPr>
                <w:sz w:val="18"/>
                <w:szCs w:val="18"/>
              </w:rPr>
              <w:t>enerator</w:t>
            </w:r>
            <w:r>
              <w:rPr>
                <w:sz w:val="18"/>
                <w:szCs w:val="18"/>
              </w:rPr>
              <w:t>s</w:t>
            </w:r>
          </w:p>
          <w:p w14:paraId="27898667" w14:textId="59AFEA3D" w:rsidR="005D11D9" w:rsidRPr="003202BB" w:rsidRDefault="005D11D9" w:rsidP="00725CB5">
            <w:pPr>
              <w:jc w:val="right"/>
              <w:cnfStyle w:val="100000000000" w:firstRow="1" w:lastRow="0" w:firstColumn="0" w:lastColumn="0" w:oddVBand="0" w:evenVBand="0" w:oddHBand="0" w:evenHBand="0" w:firstRowFirstColumn="0" w:firstRowLastColumn="0" w:lastRowFirstColumn="0" w:lastRowLastColumn="0"/>
              <w:rPr>
                <w:rFonts w:cs="Segoe UI"/>
                <w:sz w:val="18"/>
                <w:szCs w:val="18"/>
              </w:rPr>
            </w:pPr>
          </w:p>
        </w:tc>
        <w:tc>
          <w:tcPr>
            <w:tcW w:w="2069" w:type="dxa"/>
          </w:tcPr>
          <w:p w14:paraId="30165EF3" w14:textId="2B434D45" w:rsidR="005D11D9" w:rsidRPr="003202BB" w:rsidRDefault="005D11D9" w:rsidP="00725CB5">
            <w:pPr>
              <w:jc w:val="right"/>
              <w:cnfStyle w:val="100000000000" w:firstRow="1" w:lastRow="0" w:firstColumn="0" w:lastColumn="0" w:oddVBand="0" w:evenVBand="0" w:oddHBand="0" w:evenHBand="0" w:firstRowFirstColumn="0" w:firstRowLastColumn="0" w:lastRowFirstColumn="0" w:lastRowLastColumn="0"/>
              <w:rPr>
                <w:rFonts w:cs="Segoe UI"/>
                <w:sz w:val="18"/>
                <w:szCs w:val="18"/>
              </w:rPr>
            </w:pPr>
            <w:r w:rsidRPr="003202BB">
              <w:rPr>
                <w:sz w:val="18"/>
                <w:szCs w:val="18"/>
              </w:rPr>
              <w:t>Grid</w:t>
            </w:r>
          </w:p>
        </w:tc>
      </w:tr>
      <w:tr w:rsidR="005D11D9" w:rsidRPr="003202BB" w14:paraId="057F015A" w14:textId="77777777" w:rsidTr="00D746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tcPr>
          <w:p w14:paraId="2FD4774D" w14:textId="3479A512" w:rsidR="005D11D9" w:rsidRPr="003202BB" w:rsidRDefault="005D11D9" w:rsidP="00A427D2">
            <w:pPr>
              <w:jc w:val="both"/>
              <w:rPr>
                <w:rFonts w:cs="Segoe UI"/>
                <w:sz w:val="18"/>
                <w:szCs w:val="18"/>
              </w:rPr>
            </w:pPr>
            <w:r w:rsidRPr="003202BB">
              <w:rPr>
                <w:sz w:val="18"/>
                <w:szCs w:val="18"/>
              </w:rPr>
              <w:t>PC</w:t>
            </w:r>
          </w:p>
        </w:tc>
        <w:tc>
          <w:tcPr>
            <w:tcW w:w="1802" w:type="dxa"/>
          </w:tcPr>
          <w:p w14:paraId="129C86FD" w14:textId="6B6F5FA1" w:rsidR="005D11D9" w:rsidRPr="003202BB" w:rsidRDefault="00DC66DC"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80%</w:t>
            </w:r>
          </w:p>
        </w:tc>
        <w:tc>
          <w:tcPr>
            <w:tcW w:w="1802" w:type="dxa"/>
          </w:tcPr>
          <w:p w14:paraId="04F18B7C" w14:textId="38155FE1" w:rsidR="005D11D9" w:rsidRPr="003202BB" w:rsidRDefault="00DC66DC"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2</w:t>
            </w:r>
            <w:r w:rsidR="005D11D9" w:rsidRPr="003202BB">
              <w:rPr>
                <w:rFonts w:cs="Segoe UI"/>
                <w:sz w:val="18"/>
                <w:szCs w:val="18"/>
              </w:rPr>
              <w:t>0%</w:t>
            </w:r>
          </w:p>
        </w:tc>
        <w:tc>
          <w:tcPr>
            <w:tcW w:w="2069" w:type="dxa"/>
          </w:tcPr>
          <w:p w14:paraId="04031666" w14:textId="5FBB0DC6"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p>
        </w:tc>
      </w:tr>
      <w:tr w:rsidR="005D11D9" w:rsidRPr="003202BB" w14:paraId="40AF8D66" w14:textId="77777777" w:rsidTr="00D746C9">
        <w:trPr>
          <w:trHeight w:val="288"/>
        </w:trPr>
        <w:tc>
          <w:tcPr>
            <w:cnfStyle w:val="001000000000" w:firstRow="0" w:lastRow="0" w:firstColumn="1" w:lastColumn="0" w:oddVBand="0" w:evenVBand="0" w:oddHBand="0" w:evenHBand="0" w:firstRowFirstColumn="0" w:firstRowLastColumn="0" w:lastRowFirstColumn="0" w:lastRowLastColumn="0"/>
            <w:tcW w:w="2335" w:type="dxa"/>
          </w:tcPr>
          <w:p w14:paraId="7463994E" w14:textId="5A1C5815" w:rsidR="005D11D9" w:rsidRPr="003202BB" w:rsidRDefault="005D11D9" w:rsidP="00A427D2">
            <w:pPr>
              <w:jc w:val="both"/>
              <w:rPr>
                <w:rFonts w:cs="Segoe UI"/>
                <w:sz w:val="18"/>
                <w:szCs w:val="18"/>
              </w:rPr>
            </w:pPr>
            <w:r w:rsidRPr="003202BB">
              <w:rPr>
                <w:sz w:val="18"/>
                <w:szCs w:val="18"/>
              </w:rPr>
              <w:t>FPM H</w:t>
            </w:r>
          </w:p>
        </w:tc>
        <w:tc>
          <w:tcPr>
            <w:tcW w:w="1802" w:type="dxa"/>
          </w:tcPr>
          <w:p w14:paraId="27B68E95" w14:textId="7C289A70" w:rsidR="005D11D9" w:rsidRPr="003202BB" w:rsidRDefault="00DC66DC" w:rsidP="00A427D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80%</w:t>
            </w:r>
          </w:p>
        </w:tc>
        <w:tc>
          <w:tcPr>
            <w:tcW w:w="1802" w:type="dxa"/>
          </w:tcPr>
          <w:p w14:paraId="2BFD4DB5" w14:textId="4E1EABAA" w:rsidR="005D11D9" w:rsidRPr="003202BB" w:rsidRDefault="00DC66DC" w:rsidP="00A427D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2</w:t>
            </w:r>
            <w:r w:rsidR="005D11D9" w:rsidRPr="003202BB">
              <w:rPr>
                <w:rFonts w:cs="Segoe UI"/>
                <w:sz w:val="18"/>
                <w:szCs w:val="18"/>
              </w:rPr>
              <w:t>0%</w:t>
            </w:r>
          </w:p>
        </w:tc>
        <w:tc>
          <w:tcPr>
            <w:tcW w:w="2069" w:type="dxa"/>
          </w:tcPr>
          <w:p w14:paraId="63F81E4E" w14:textId="260C5C24"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D11D9" w:rsidRPr="003202BB" w14:paraId="0D87C82E" w14:textId="77777777" w:rsidTr="00D746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tcPr>
          <w:p w14:paraId="29D04D96" w14:textId="294B96DD" w:rsidR="005D11D9" w:rsidRPr="003202BB" w:rsidRDefault="005D11D9" w:rsidP="00A427D2">
            <w:pPr>
              <w:jc w:val="both"/>
              <w:rPr>
                <w:rFonts w:cs="Segoe UI"/>
                <w:sz w:val="18"/>
                <w:szCs w:val="18"/>
              </w:rPr>
            </w:pPr>
            <w:r w:rsidRPr="003202BB">
              <w:rPr>
                <w:sz w:val="18"/>
                <w:szCs w:val="18"/>
              </w:rPr>
              <w:t>PEA</w:t>
            </w:r>
          </w:p>
        </w:tc>
        <w:tc>
          <w:tcPr>
            <w:tcW w:w="1802" w:type="dxa"/>
          </w:tcPr>
          <w:p w14:paraId="16DE5240" w14:textId="77777777"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p>
        </w:tc>
        <w:tc>
          <w:tcPr>
            <w:tcW w:w="1802" w:type="dxa"/>
          </w:tcPr>
          <w:p w14:paraId="373D2A91" w14:textId="2188C445"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r w:rsidRPr="003202BB">
              <w:rPr>
                <w:rFonts w:cs="Segoe UI"/>
                <w:sz w:val="18"/>
                <w:szCs w:val="18"/>
              </w:rPr>
              <w:t>100%</w:t>
            </w:r>
          </w:p>
        </w:tc>
        <w:tc>
          <w:tcPr>
            <w:tcW w:w="2069" w:type="dxa"/>
          </w:tcPr>
          <w:p w14:paraId="72D91857" w14:textId="4337AA8B"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rFonts w:cs="Segoe UI"/>
                <w:sz w:val="18"/>
                <w:szCs w:val="18"/>
              </w:rPr>
            </w:pPr>
          </w:p>
        </w:tc>
      </w:tr>
      <w:tr w:rsidR="005D11D9" w:rsidRPr="003202BB" w14:paraId="0FEC34D2" w14:textId="77777777" w:rsidTr="00D746C9">
        <w:trPr>
          <w:trHeight w:val="288"/>
        </w:trPr>
        <w:tc>
          <w:tcPr>
            <w:cnfStyle w:val="001000000000" w:firstRow="0" w:lastRow="0" w:firstColumn="1" w:lastColumn="0" w:oddVBand="0" w:evenVBand="0" w:oddHBand="0" w:evenHBand="0" w:firstRowFirstColumn="0" w:firstRowLastColumn="0" w:lastRowFirstColumn="0" w:lastRowLastColumn="0"/>
            <w:tcW w:w="2335" w:type="dxa"/>
          </w:tcPr>
          <w:p w14:paraId="2F010D45" w14:textId="53E77453" w:rsidR="005D11D9" w:rsidRPr="003202BB" w:rsidRDefault="005D11D9" w:rsidP="00A427D2">
            <w:pPr>
              <w:jc w:val="both"/>
              <w:rPr>
                <w:sz w:val="18"/>
                <w:szCs w:val="18"/>
              </w:rPr>
            </w:pPr>
            <w:r w:rsidRPr="003202BB">
              <w:rPr>
                <w:sz w:val="18"/>
                <w:szCs w:val="18"/>
              </w:rPr>
              <w:t>SPP</w:t>
            </w:r>
          </w:p>
        </w:tc>
        <w:tc>
          <w:tcPr>
            <w:tcW w:w="1802" w:type="dxa"/>
          </w:tcPr>
          <w:p w14:paraId="098C1042" w14:textId="77777777"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802" w:type="dxa"/>
          </w:tcPr>
          <w:p w14:paraId="5666E6D5" w14:textId="6A062A27"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r w:rsidRPr="003202BB">
              <w:rPr>
                <w:sz w:val="18"/>
                <w:szCs w:val="18"/>
              </w:rPr>
              <w:t>100%</w:t>
            </w:r>
          </w:p>
        </w:tc>
        <w:tc>
          <w:tcPr>
            <w:tcW w:w="2069" w:type="dxa"/>
          </w:tcPr>
          <w:p w14:paraId="0A238684" w14:textId="77777777"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5D11D9" w:rsidRPr="003202BB" w14:paraId="0B2D3B84" w14:textId="77777777" w:rsidTr="00D746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5" w:type="dxa"/>
          </w:tcPr>
          <w:p w14:paraId="73B31EF9" w14:textId="71667E66" w:rsidR="005D11D9" w:rsidRPr="003202BB" w:rsidRDefault="005D11D9" w:rsidP="00A427D2">
            <w:pPr>
              <w:jc w:val="both"/>
              <w:rPr>
                <w:sz w:val="18"/>
                <w:szCs w:val="18"/>
              </w:rPr>
            </w:pPr>
            <w:r w:rsidRPr="003202BB">
              <w:rPr>
                <w:sz w:val="18"/>
                <w:szCs w:val="18"/>
              </w:rPr>
              <w:t>Mini-AEP</w:t>
            </w:r>
          </w:p>
        </w:tc>
        <w:tc>
          <w:tcPr>
            <w:tcW w:w="1802" w:type="dxa"/>
          </w:tcPr>
          <w:p w14:paraId="250C8D3A" w14:textId="77777777"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802" w:type="dxa"/>
          </w:tcPr>
          <w:p w14:paraId="39B8299F" w14:textId="5D5871A4"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sz w:val="18"/>
                <w:szCs w:val="18"/>
              </w:rPr>
            </w:pPr>
            <w:r w:rsidRPr="003202BB">
              <w:rPr>
                <w:sz w:val="18"/>
                <w:szCs w:val="18"/>
              </w:rPr>
              <w:t>100%</w:t>
            </w:r>
          </w:p>
        </w:tc>
        <w:tc>
          <w:tcPr>
            <w:tcW w:w="2069" w:type="dxa"/>
          </w:tcPr>
          <w:p w14:paraId="49102376" w14:textId="77777777" w:rsidR="005D11D9" w:rsidRPr="003202BB" w:rsidRDefault="005D11D9" w:rsidP="00A427D2">
            <w:pPr>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5D11D9" w:rsidRPr="003202BB" w14:paraId="5CB038CF" w14:textId="77777777" w:rsidTr="00D746C9">
        <w:trPr>
          <w:trHeight w:val="288"/>
        </w:trPr>
        <w:tc>
          <w:tcPr>
            <w:cnfStyle w:val="001000000000" w:firstRow="0" w:lastRow="0" w:firstColumn="1" w:lastColumn="0" w:oddVBand="0" w:evenVBand="0" w:oddHBand="0" w:evenHBand="0" w:firstRowFirstColumn="0" w:firstRowLastColumn="0" w:lastRowFirstColumn="0" w:lastRowLastColumn="0"/>
            <w:tcW w:w="2335" w:type="dxa"/>
          </w:tcPr>
          <w:p w14:paraId="6150DBAB" w14:textId="040BFEA0" w:rsidR="005D11D9" w:rsidRPr="003202BB" w:rsidRDefault="005D11D9" w:rsidP="00A427D2">
            <w:pPr>
              <w:jc w:val="both"/>
              <w:rPr>
                <w:sz w:val="18"/>
                <w:szCs w:val="18"/>
              </w:rPr>
            </w:pPr>
            <w:r w:rsidRPr="003202BB">
              <w:rPr>
                <w:sz w:val="18"/>
                <w:szCs w:val="18"/>
              </w:rPr>
              <w:t>AEP</w:t>
            </w:r>
          </w:p>
        </w:tc>
        <w:tc>
          <w:tcPr>
            <w:tcW w:w="1802" w:type="dxa"/>
          </w:tcPr>
          <w:p w14:paraId="2EE07C72" w14:textId="77777777"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802" w:type="dxa"/>
          </w:tcPr>
          <w:p w14:paraId="7608091B" w14:textId="6D92AC14"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069" w:type="dxa"/>
          </w:tcPr>
          <w:p w14:paraId="4AD807CE" w14:textId="2BA6491B" w:rsidR="005D11D9" w:rsidRPr="003202BB" w:rsidRDefault="005D11D9" w:rsidP="00A427D2">
            <w:pPr>
              <w:jc w:val="right"/>
              <w:cnfStyle w:val="000000000000" w:firstRow="0" w:lastRow="0" w:firstColumn="0" w:lastColumn="0" w:oddVBand="0" w:evenVBand="0" w:oddHBand="0" w:evenHBand="0" w:firstRowFirstColumn="0" w:firstRowLastColumn="0" w:lastRowFirstColumn="0" w:lastRowLastColumn="0"/>
              <w:rPr>
                <w:sz w:val="18"/>
                <w:szCs w:val="18"/>
              </w:rPr>
            </w:pPr>
            <w:r w:rsidRPr="003202BB">
              <w:rPr>
                <w:sz w:val="18"/>
                <w:szCs w:val="18"/>
              </w:rPr>
              <w:t>100%</w:t>
            </w:r>
          </w:p>
        </w:tc>
      </w:tr>
    </w:tbl>
    <w:p w14:paraId="4516296C" w14:textId="6FADB140" w:rsidR="00E50AD6" w:rsidRPr="00083AF7" w:rsidRDefault="00E50AD6" w:rsidP="00083AF7">
      <w:pPr>
        <w:rPr>
          <w:sz w:val="12"/>
          <w:szCs w:val="12"/>
        </w:rPr>
      </w:pPr>
    </w:p>
    <w:p w14:paraId="6991F6C9" w14:textId="10640AB7" w:rsidR="007E035B" w:rsidRDefault="00F3259E" w:rsidP="009816D2">
      <w:pPr>
        <w:jc w:val="both"/>
        <w:rPr>
          <w:rFonts w:cs="Segoe UI"/>
        </w:rPr>
      </w:pPr>
      <w:r w:rsidRPr="008677A5">
        <w:rPr>
          <w:rFonts w:cs="Segoe UI"/>
        </w:rPr>
        <w:t>We estimate a</w:t>
      </w:r>
      <w:r w:rsidR="0092674A">
        <w:rPr>
          <w:rFonts w:cs="Segoe UI"/>
        </w:rPr>
        <w:t xml:space="preserve"> total </w:t>
      </w:r>
      <w:r w:rsidRPr="008677A5">
        <w:rPr>
          <w:rFonts w:cs="Segoe UI"/>
        </w:rPr>
        <w:t>annual</w:t>
      </w:r>
      <w:r w:rsidR="007E035B">
        <w:rPr>
          <w:rFonts w:cs="Segoe UI"/>
        </w:rPr>
        <w:t>ized</w:t>
      </w:r>
      <w:r w:rsidRPr="008677A5">
        <w:rPr>
          <w:rFonts w:cs="Segoe UI"/>
        </w:rPr>
        <w:t xml:space="preserve"> market size of around US</w:t>
      </w:r>
      <w:r w:rsidR="00440F85">
        <w:rPr>
          <w:rFonts w:cs="Segoe UI"/>
        </w:rPr>
        <w:t xml:space="preserve"> $97</w:t>
      </w:r>
      <w:r w:rsidR="007E035B">
        <w:rPr>
          <w:rFonts w:cs="Segoe UI"/>
        </w:rPr>
        <w:t xml:space="preserve"> million (representing an annual sales volume of around 812 units, i.e. pumping stations equipped). O</w:t>
      </w:r>
      <w:r w:rsidR="00440F85">
        <w:rPr>
          <w:rFonts w:cs="Segoe UI"/>
        </w:rPr>
        <w:t>f the total market size, over 37</w:t>
      </w:r>
      <w:r w:rsidR="007E035B">
        <w:rPr>
          <w:rFonts w:cs="Segoe UI"/>
        </w:rPr>
        <w:t xml:space="preserve">% is for sales of large pumping systems to </w:t>
      </w:r>
      <w:r w:rsidR="005210F2">
        <w:rPr>
          <w:rFonts w:cs="Segoe UI"/>
        </w:rPr>
        <w:t>AEPs</w:t>
      </w:r>
      <w:r w:rsidR="007E035B">
        <w:rPr>
          <w:rFonts w:cs="Segoe UI"/>
        </w:rPr>
        <w:t xml:space="preserve">; further analysis at the individual locations will be required to evaluate if constructing and managing large solar production facilities at the sites of the pumping stations is a feasible opportunity. </w:t>
      </w:r>
    </w:p>
    <w:p w14:paraId="6E60D64A" w14:textId="1A7CB982" w:rsidR="00C739F5" w:rsidRDefault="00C739F5" w:rsidP="0099462C">
      <w:pPr>
        <w:pStyle w:val="Caption"/>
      </w:pPr>
      <w:bookmarkStart w:id="140" w:name="_Toc500969391"/>
      <w:r>
        <w:t xml:space="preserve">Table </w:t>
      </w:r>
      <w:fldSimple w:instr=" SEQ Table \* ARABIC ">
        <w:r w:rsidR="000D1C35">
          <w:rPr>
            <w:noProof/>
          </w:rPr>
          <w:t>27</w:t>
        </w:r>
      </w:fldSimple>
      <w:r>
        <w:t>: Solar market for water providers by water station type and region</w:t>
      </w:r>
      <w:bookmarkEnd w:id="140"/>
    </w:p>
    <w:p w14:paraId="532D9BD6" w14:textId="5E5D4192" w:rsidR="00AE0FC6" w:rsidRPr="007E035B" w:rsidRDefault="00440F85" w:rsidP="009769AD">
      <w:pPr>
        <w:rPr>
          <w:rFonts w:cs="Segoe UI"/>
        </w:rPr>
      </w:pPr>
      <w:r w:rsidRPr="00440F85">
        <w:rPr>
          <w:noProof/>
        </w:rPr>
        <w:drawing>
          <wp:inline distT="0" distB="0" distL="0" distR="0" wp14:anchorId="38259789" wp14:editId="773496C1">
            <wp:extent cx="5947808" cy="2203704"/>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7808" cy="2203704"/>
                    </a:xfrm>
                    <a:prstGeom prst="rect">
                      <a:avLst/>
                    </a:prstGeom>
                    <a:noFill/>
                    <a:ln>
                      <a:noFill/>
                    </a:ln>
                  </pic:spPr>
                </pic:pic>
              </a:graphicData>
            </a:graphic>
          </wp:inline>
        </w:drawing>
      </w:r>
    </w:p>
    <w:p w14:paraId="5585E2A6" w14:textId="245B0723" w:rsidR="00CD748E" w:rsidRPr="00955049" w:rsidRDefault="00CD748E" w:rsidP="00955049">
      <w:pPr>
        <w:pStyle w:val="H2NEWreportStyle"/>
      </w:pPr>
      <w:bookmarkStart w:id="141" w:name="_Toc501097043"/>
      <w:r w:rsidRPr="00955049">
        <w:t>Solar street lights</w:t>
      </w:r>
      <w:bookmarkEnd w:id="141"/>
    </w:p>
    <w:p w14:paraId="0C8A101A" w14:textId="5E85D13F" w:rsidR="00B74610" w:rsidRDefault="00CB6764" w:rsidP="009769AD">
      <w:pPr>
        <w:jc w:val="both"/>
      </w:pPr>
      <w:r>
        <w:t>Most of Niger’s roads are currently both unlit and</w:t>
      </w:r>
      <w:r w:rsidR="00FE3973">
        <w:t xml:space="preserve"> –</w:t>
      </w:r>
      <w:r>
        <w:t xml:space="preserve"> outside of larger urban centers </w:t>
      </w:r>
      <w:r w:rsidR="00FE3973">
        <w:t>– remote</w:t>
      </w:r>
      <w:r>
        <w:t xml:space="preserve"> from the grid. </w:t>
      </w:r>
      <w:r w:rsidR="004E18D5">
        <w:t>Though this does not represent a “market” as such</w:t>
      </w:r>
      <w:r w:rsidR="007026BC">
        <w:t>,</w:t>
      </w:r>
      <w:r w:rsidR="004E18D5">
        <w:t xml:space="preserve"> since the only viable customer would be the government or an external donor</w:t>
      </w:r>
      <w:r>
        <w:t>, solar street lights present a major opportunity for cost savings in national</w:t>
      </w:r>
      <w:r w:rsidR="00E54931">
        <w:t xml:space="preserve"> road lighting policy, and the g</w:t>
      </w:r>
      <w:r>
        <w:t xml:space="preserve">overnment is already beginning to implement this technology. </w:t>
      </w:r>
    </w:p>
    <w:p w14:paraId="0276763F" w14:textId="15ED706B" w:rsidR="006C5520" w:rsidRDefault="006C5520" w:rsidP="009769AD">
      <w:pPr>
        <w:jc w:val="both"/>
      </w:pPr>
      <w:r>
        <w:t>C</w:t>
      </w:r>
      <w:r w:rsidR="00E54931">
        <w:t>onsultations revealed that the g</w:t>
      </w:r>
      <w:r>
        <w:t>overnment intends to install 15,000 streetlights in major urban areas, with a main focus on the largest eight cities, nationwide over the coming years.</w:t>
      </w:r>
    </w:p>
    <w:p w14:paraId="2FAA76D3" w14:textId="78A5BBE8" w:rsidR="00CD748E" w:rsidRPr="00CD748E" w:rsidRDefault="00CB6764" w:rsidP="009769AD">
      <w:pPr>
        <w:jc w:val="both"/>
      </w:pPr>
      <w:r>
        <w:lastRenderedPageBreak/>
        <w:t>In this section, we calculate the lifetime</w:t>
      </w:r>
      <w:r w:rsidR="008B13A5">
        <w:t xml:space="preserve"> cost savings from solar street</w:t>
      </w:r>
      <w:r>
        <w:t>lights compared to regular (grid-powered) street lights, and</w:t>
      </w:r>
      <w:r w:rsidR="008B13A5">
        <w:t xml:space="preserve"> finally arrive at solar street</w:t>
      </w:r>
      <w:r>
        <w:t>lights’</w:t>
      </w:r>
      <w:r w:rsidR="006C5520">
        <w:t xml:space="preserve"> overall cost savings potential based on the </w:t>
      </w:r>
      <w:r w:rsidR="007026BC">
        <w:t xml:space="preserve">government’s </w:t>
      </w:r>
      <w:r w:rsidR="006C5520">
        <w:t xml:space="preserve">plan of installing 15,000 streetlights. </w:t>
      </w:r>
      <w:r>
        <w:t xml:space="preserve"> </w:t>
      </w:r>
    </w:p>
    <w:p w14:paraId="619EE6B1" w14:textId="77777777" w:rsidR="00E54931" w:rsidRDefault="00007257" w:rsidP="009769AD">
      <w:pPr>
        <w:jc w:val="both"/>
      </w:pPr>
      <w:r>
        <w:t xml:space="preserve">Based on manufacturer </w:t>
      </w:r>
      <w:r w:rsidR="00FE3973">
        <w:t xml:space="preserve">data </w:t>
      </w:r>
      <w:r>
        <w:t xml:space="preserve">and consultations, we estimate lifetime savings of </w:t>
      </w:r>
      <w:r w:rsidR="004E18D5">
        <w:t>aro</w:t>
      </w:r>
      <w:r w:rsidR="00E54931">
        <w:t>und US $</w:t>
      </w:r>
      <w:r w:rsidR="00FE3973">
        <w:t xml:space="preserve">2,000 for a single </w:t>
      </w:r>
      <w:r w:rsidR="004E18D5">
        <w:t>solar streetlight compared to conventional (grid-connected) streetlight</w:t>
      </w:r>
      <w:r w:rsidR="00FE3973">
        <w:t>s</w:t>
      </w:r>
      <w:r w:rsidR="004E18D5">
        <w:t xml:space="preserve">. </w:t>
      </w:r>
      <w:r w:rsidR="00FE3973">
        <w:t xml:space="preserve">Note </w:t>
      </w:r>
      <w:r w:rsidR="004E18D5">
        <w:t>that this</w:t>
      </w:r>
      <w:r w:rsidR="00FE3973">
        <w:t xml:space="preserve"> figure</w:t>
      </w:r>
      <w:r w:rsidR="004E18D5">
        <w:t xml:space="preserve"> does not take into account </w:t>
      </w:r>
      <w:r w:rsidR="00FE3973">
        <w:t>any</w:t>
      </w:r>
      <w:r w:rsidR="004E18D5">
        <w:t xml:space="preserve"> grid extension costs that would be necessary to actually install on-grid streetlights in currently off-grid communities or roads. Taking these into account would </w:t>
      </w:r>
      <w:r w:rsidR="00FE3973">
        <w:t xml:space="preserve">clearly </w:t>
      </w:r>
      <w:r w:rsidR="004E18D5">
        <w:t>strengthen the business case for solar streetlights</w:t>
      </w:r>
      <w:r w:rsidR="00FE3973">
        <w:t xml:space="preserve"> even</w:t>
      </w:r>
      <w:r w:rsidR="004E18D5">
        <w:t xml:space="preserve"> further. </w:t>
      </w:r>
    </w:p>
    <w:p w14:paraId="78A07DE7" w14:textId="3E8DE3FF" w:rsidR="00697A3E" w:rsidRDefault="00697A3E" w:rsidP="0099462C">
      <w:pPr>
        <w:pStyle w:val="Caption"/>
      </w:pPr>
      <w:bookmarkStart w:id="142" w:name="_Toc500969354"/>
      <w:r>
        <w:t xml:space="preserve">Figure </w:t>
      </w:r>
      <w:fldSimple w:instr=" SEQ Figure \* ARABIC ">
        <w:r w:rsidR="000D1C35">
          <w:rPr>
            <w:noProof/>
          </w:rPr>
          <w:t>17</w:t>
        </w:r>
      </w:fldSimple>
      <w:r>
        <w:t>: Lifetime cost savings per solar street light</w:t>
      </w:r>
      <w:bookmarkEnd w:id="142"/>
    </w:p>
    <w:p w14:paraId="2A533F50" w14:textId="7B366569" w:rsidR="00BF1E1C" w:rsidRDefault="00AB309E" w:rsidP="00277B1A">
      <w:pPr>
        <w:jc w:val="both"/>
        <w:rPr>
          <w:rFonts w:cs="Segoe UI"/>
        </w:rPr>
      </w:pPr>
      <w:r>
        <w:rPr>
          <w:rFonts w:cs="Segoe UI"/>
          <w:noProof/>
        </w:rPr>
        <w:drawing>
          <wp:inline distT="0" distB="0" distL="0" distR="0" wp14:anchorId="70DD5CA3" wp14:editId="34C0E4A4">
            <wp:extent cx="3370234" cy="3324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50176"/>
                    <a:stretch/>
                  </pic:blipFill>
                  <pic:spPr bwMode="auto">
                    <a:xfrm>
                      <a:off x="0" y="0"/>
                      <a:ext cx="3379616" cy="3333479"/>
                    </a:xfrm>
                    <a:prstGeom prst="rect">
                      <a:avLst/>
                    </a:prstGeom>
                    <a:noFill/>
                    <a:ln>
                      <a:noFill/>
                    </a:ln>
                    <a:extLst>
                      <a:ext uri="{53640926-AAD7-44D8-BBD7-CCE9431645EC}">
                        <a14:shadowObscured xmlns:a14="http://schemas.microsoft.com/office/drawing/2010/main"/>
                      </a:ext>
                    </a:extLst>
                  </pic:spPr>
                </pic:pic>
              </a:graphicData>
            </a:graphic>
          </wp:inline>
        </w:drawing>
      </w:r>
    </w:p>
    <w:p w14:paraId="65B380E3" w14:textId="77777777" w:rsidR="00BF1E1C" w:rsidRDefault="00BF1E1C" w:rsidP="00277B1A">
      <w:pPr>
        <w:jc w:val="both"/>
        <w:rPr>
          <w:rFonts w:cs="Segoe UI"/>
        </w:rPr>
      </w:pPr>
    </w:p>
    <w:p w14:paraId="36D08822" w14:textId="496005F6" w:rsidR="00CA2405" w:rsidRDefault="00AE25E6" w:rsidP="00E54931">
      <w:pPr>
        <w:jc w:val="both"/>
      </w:pPr>
      <w:r>
        <w:t>Based on the government plans to install around 15,000</w:t>
      </w:r>
      <w:r w:rsidR="00CA2405">
        <w:t xml:space="preserve"> street lights, this equates to an overall nationwide cost savings opportunity of around US</w:t>
      </w:r>
      <w:r w:rsidR="007026BC">
        <w:t xml:space="preserve"> </w:t>
      </w:r>
      <w:r w:rsidR="00CA2405">
        <w:t>$30 million. Total investment cost for the 15,000 street lights is estimated to be around US $20 million (plus installation costs), depending on type and quality of product. With an expected lifetime of street lights of around 20 years, this represents</w:t>
      </w:r>
      <w:r w:rsidR="00C552FC">
        <w:t xml:space="preserve"> an annualized</w:t>
      </w:r>
      <w:r w:rsidR="00CA2405">
        <w:t xml:space="preserve"> market opportunity of around US $1million. </w:t>
      </w:r>
    </w:p>
    <w:p w14:paraId="2A52B211" w14:textId="0B638604" w:rsidR="00BF1E1C" w:rsidRDefault="00BF1E1C" w:rsidP="00277B1A">
      <w:pPr>
        <w:jc w:val="both"/>
        <w:rPr>
          <w:rFonts w:cs="Segoe UI"/>
        </w:rPr>
      </w:pPr>
    </w:p>
    <w:p w14:paraId="7FB3AB1E" w14:textId="225E5BCC" w:rsidR="00725CB5" w:rsidRPr="00955049" w:rsidRDefault="009E1C86" w:rsidP="00955049">
      <w:pPr>
        <w:pStyle w:val="H1NEWreportStyle"/>
      </w:pPr>
      <w:bookmarkStart w:id="143" w:name="_Ref475631483"/>
      <w:bookmarkStart w:id="144" w:name="_Toc501097044"/>
      <w:r w:rsidRPr="00955049">
        <w:lastRenderedPageBreak/>
        <w:t>Supply of solar technology and the supporting ecosystem</w:t>
      </w:r>
      <w:bookmarkEnd w:id="143"/>
      <w:bookmarkEnd w:id="144"/>
    </w:p>
    <w:p w14:paraId="480B51D0" w14:textId="3D0ADCE0" w:rsidR="007C107F" w:rsidRPr="00955049" w:rsidRDefault="007C107F" w:rsidP="00955049">
      <w:pPr>
        <w:pStyle w:val="H2NEWreportStyle"/>
      </w:pPr>
      <w:bookmarkStart w:id="145" w:name="_Toc475651455"/>
      <w:bookmarkStart w:id="146" w:name="_Toc475652346"/>
      <w:bookmarkStart w:id="147" w:name="_Toc501097045"/>
      <w:r w:rsidRPr="00955049">
        <w:t>The supply-side landscape</w:t>
      </w:r>
      <w:bookmarkEnd w:id="145"/>
      <w:bookmarkEnd w:id="146"/>
      <w:bookmarkEnd w:id="147"/>
    </w:p>
    <w:p w14:paraId="754E8162" w14:textId="6FD967EC" w:rsidR="007C107F" w:rsidRDefault="007C107F" w:rsidP="007C107F">
      <w:pPr>
        <w:jc w:val="both"/>
      </w:pPr>
      <w:r w:rsidRPr="008D27D0">
        <w:t>The supply side of Niger’s solar market is at a very early stage. To date, supply side activities have consisted almost entirely of Engineering, Procurement &amp; Construction (EPC) firms installing and maintaining fixed solar installations in response to tenders by large institutional clients such as NGOs, DFIs, and the government. These tenders cover a broad range of activities, from solar irrigation to solar street lighting to community electrification projects, but to date very few businesses have attempted to supply solar products directly to end-consumers (e.g. households, farmers, communities) in a scalable, market-driven way. A small number of businesses have run small pil</w:t>
      </w:r>
      <w:r>
        <w:t>ots for solar lanterns</w:t>
      </w:r>
      <w:r w:rsidRPr="008D27D0">
        <w:t>, but these have been hampered</w:t>
      </w:r>
      <w:r>
        <w:t xml:space="preserve"> by</w:t>
      </w:r>
      <w:r w:rsidRPr="008D27D0">
        <w:t xml:space="preserve"> a number of oper</w:t>
      </w:r>
      <w:r w:rsidR="006A325D">
        <w:t xml:space="preserve">ational and external challenges – </w:t>
      </w:r>
      <w:r w:rsidR="00E4492A">
        <w:t xml:space="preserve">especially the combination of </w:t>
      </w:r>
      <w:r w:rsidR="00D11A87">
        <w:t xml:space="preserve">limited </w:t>
      </w:r>
      <w:r w:rsidR="006A325D">
        <w:t xml:space="preserve">customer </w:t>
      </w:r>
      <w:r w:rsidR="00D11A87">
        <w:t>purchasing power</w:t>
      </w:r>
      <w:r w:rsidR="00E4492A">
        <w:t xml:space="preserve"> and </w:t>
      </w:r>
      <w:r w:rsidR="00C6351D">
        <w:t xml:space="preserve">high market price levels due to taxes and </w:t>
      </w:r>
      <w:r w:rsidR="006A325D">
        <w:t xml:space="preserve">customs duties </w:t>
      </w:r>
      <w:r w:rsidR="00E4492A">
        <w:t xml:space="preserve">levied on </w:t>
      </w:r>
      <w:r w:rsidR="006A325D">
        <w:t>solar product</w:t>
      </w:r>
      <w:r w:rsidR="00E4492A">
        <w:t xml:space="preserve"> imports </w:t>
      </w:r>
      <w:r w:rsidR="006A325D">
        <w:t>–</w:t>
      </w:r>
      <w:r w:rsidRPr="008D27D0">
        <w:t xml:space="preserve"> and have only reached a very small fraction of the total market. In a</w:t>
      </w:r>
      <w:r>
        <w:t>ddition, what little activity</w:t>
      </w:r>
      <w:r w:rsidRPr="008D27D0">
        <w:t xml:space="preserve"> has</w:t>
      </w:r>
      <w:r>
        <w:t xml:space="preserve"> occurred has</w:t>
      </w:r>
      <w:r w:rsidRPr="008D27D0">
        <w:t xml:space="preserve"> been concentrated </w:t>
      </w:r>
      <w:r>
        <w:t>mainly</w:t>
      </w:r>
      <w:r w:rsidRPr="008D27D0">
        <w:t xml:space="preserve"> in the periphery of Niamey.</w:t>
      </w:r>
      <w:r>
        <w:t xml:space="preserve"> </w:t>
      </w:r>
    </w:p>
    <w:p w14:paraId="5FC69139" w14:textId="77777777" w:rsidR="007C107F" w:rsidRPr="006F5C66" w:rsidRDefault="007C107F" w:rsidP="007C107F">
      <w:pPr>
        <w:jc w:val="both"/>
      </w:pPr>
      <w:r>
        <w:t xml:space="preserve">Larger international players, though interested in Niger as a long-term opportunity, do not see Niger as a priority market and are already stretched thin by recent expansion efforts in other countries. In addition, ongoing DFI initiatives to stimulate solar sector growth in other Sub Saharan African countries continue to compete for these businesses’ attention. Instead, the end-consumer market has been dominated by informal players selling low-grade imitation products and with </w:t>
      </w:r>
      <w:r w:rsidRPr="006F5C66">
        <w:t xml:space="preserve">little capacity for scale. </w:t>
      </w:r>
    </w:p>
    <w:p w14:paraId="36444CEB" w14:textId="35D49685" w:rsidR="009371A4" w:rsidRDefault="007C107F" w:rsidP="006F5C66">
      <w:pPr>
        <w:jc w:val="both"/>
      </w:pPr>
      <w:r w:rsidRPr="006F5C66">
        <w:t xml:space="preserve">This section summarizes the current state of supply side in Niger for local businesses, international businesses, and the informal sector. </w:t>
      </w:r>
      <w:r w:rsidR="00BB6B70" w:rsidRPr="006F5C66">
        <w:t>These findings are predominantly based on insights gained from dozens of stakeholder consultations in Niger; our consultations included businesses, both solar market players and other distributors, as well as intermediaries, NGOs, and other stakeholders</w:t>
      </w:r>
      <w:r w:rsidR="00BB6B70" w:rsidRPr="00143157">
        <w:t xml:space="preserve">. </w:t>
      </w:r>
    </w:p>
    <w:p w14:paraId="79AAC3FD" w14:textId="7D3A1D3A" w:rsidR="00415D42" w:rsidRDefault="00415D42" w:rsidP="00415D42">
      <w:r w:rsidRPr="00806B69">
        <w:rPr>
          <w:noProof/>
        </w:rPr>
        <w:lastRenderedPageBreak/>
        <mc:AlternateContent>
          <mc:Choice Requires="wps">
            <w:drawing>
              <wp:anchor distT="0" distB="0" distL="114300" distR="114300" simplePos="0" relativeHeight="251739136" behindDoc="0" locked="0" layoutInCell="1" allowOverlap="0" wp14:anchorId="06497707" wp14:editId="009ED85D">
                <wp:simplePos x="0" y="0"/>
                <wp:positionH relativeFrom="margin">
                  <wp:align>right</wp:align>
                </wp:positionH>
                <wp:positionV relativeFrom="margin">
                  <wp:posOffset>635635</wp:posOffset>
                </wp:positionV>
                <wp:extent cx="5925185" cy="5372100"/>
                <wp:effectExtent l="0" t="0" r="18415" b="19050"/>
                <wp:wrapSquare wrapText="bothSides"/>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5372100"/>
                        </a:xfrm>
                        <a:prstGeom prst="rect">
                          <a:avLst/>
                        </a:prstGeom>
                        <a:solidFill>
                          <a:srgbClr val="84BCC4">
                            <a:lumMod val="20000"/>
                            <a:lumOff val="80000"/>
                          </a:srgbClr>
                        </a:solidFill>
                        <a:ln w="15875">
                          <a:solidFill>
                            <a:srgbClr val="FFFFFF">
                              <a:lumMod val="50000"/>
                              <a:alpha val="91000"/>
                            </a:srgbClr>
                          </a:solidFill>
                        </a:ln>
                        <a:effectLst/>
                        <a:extLst/>
                      </wps:spPr>
                      <wps:txbx>
                        <w:txbxContent>
                          <w:p w14:paraId="48FAF948" w14:textId="77777777" w:rsidR="00BB3453" w:rsidRPr="006A5E47" w:rsidRDefault="00BB3453" w:rsidP="00415D42">
                            <w:pPr>
                              <w:spacing w:before="360" w:after="360" w:line="240" w:lineRule="auto"/>
                              <w:rPr>
                                <w:rFonts w:eastAsiaTheme="majorEastAsia" w:cs="Segoe UI"/>
                                <w:color w:val="ADD2D7" w:themeColor="accent1"/>
                                <w:sz w:val="32"/>
                                <w:szCs w:val="32"/>
                              </w:rPr>
                            </w:pPr>
                            <w:r w:rsidRPr="009371A4">
                              <w:rPr>
                                <w:rFonts w:eastAsiaTheme="majorEastAsia" w:cs="Segoe UI"/>
                                <w:color w:val="ADD2D7" w:themeColor="accent1"/>
                                <w:sz w:val="32"/>
                                <w:szCs w:val="32"/>
                              </w:rPr>
                              <w:t>Niger’s business climate</w:t>
                            </w:r>
                          </w:p>
                          <w:p w14:paraId="5F3A2BCD" w14:textId="77777777" w:rsidR="00BB3453" w:rsidRPr="009371A4" w:rsidRDefault="00BB3453" w:rsidP="00415D42">
                            <w:pPr>
                              <w:spacing w:after="90"/>
                              <w:jc w:val="both"/>
                              <w:rPr>
                                <w:rFonts w:cs="Segoe UI"/>
                                <w:color w:val="366092" w:themeColor="text2"/>
                                <w:sz w:val="18"/>
                                <w:szCs w:val="18"/>
                              </w:rPr>
                            </w:pPr>
                            <w:r w:rsidRPr="009371A4">
                              <w:rPr>
                                <w:rFonts w:cs="Segoe UI"/>
                                <w:color w:val="366092" w:themeColor="text2"/>
                                <w:sz w:val="18"/>
                                <w:szCs w:val="18"/>
                              </w:rPr>
                              <w:t>Doing business in Niger is challenging. This is reflected in its ranking of 150</w:t>
                            </w:r>
                            <w:r w:rsidRPr="009371A4">
                              <w:rPr>
                                <w:rFonts w:cs="Segoe UI"/>
                                <w:color w:val="366092" w:themeColor="text2"/>
                                <w:sz w:val="18"/>
                                <w:szCs w:val="18"/>
                                <w:vertAlign w:val="superscript"/>
                              </w:rPr>
                              <w:t>th</w:t>
                            </w:r>
                            <w:r w:rsidRPr="009371A4">
                              <w:rPr>
                                <w:rFonts w:cs="Segoe UI"/>
                                <w:color w:val="366092" w:themeColor="text2"/>
                                <w:sz w:val="18"/>
                                <w:szCs w:val="18"/>
                              </w:rPr>
                              <w:t xml:space="preserve"> in the World Bank’s Ease of Doing Business rankings, with construction permits, electricity access, and paying taxes flagged as particular areas of difficulty. Nonetheless, Niger has made significant recent strides in improving its overall business climate. Notable examples of this include</w:t>
                            </w:r>
                          </w:p>
                          <w:p w14:paraId="55AF3FD9"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Reducing the minimum capital requirement to start a business, and replacing the requirement for a physical copy of founders’ criminal records with sworn declarations at the time of company registration.</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This has made it easier for early-stage entrepreneurs to incorporate and has reduced the time needed to start a business to five days for individuals, and to seven days for legal entities.</w:t>
                            </w:r>
                            <w:r w:rsidRPr="009371A4">
                              <w:rPr>
                                <w:rFonts w:cs="Segoe UI"/>
                                <w:color w:val="366092" w:themeColor="text2"/>
                                <w:sz w:val="18"/>
                                <w:szCs w:val="18"/>
                                <w:vertAlign w:val="superscript"/>
                              </w:rPr>
                              <w:footnoteRef/>
                            </w:r>
                          </w:p>
                          <w:p w14:paraId="3F3142A5"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Reducing the corporate income tax rate from 35% to 30% in 2010.</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Depending on the type of business, the Government of Niger negotiates with businesses and regularly waives taxes for companies involved in the import, export, and production of goods in Niger. Industrial investments under the Investment Code also enjoy some tax and customs exemptions, including in some cases exemptions from the value-added tax (VAT). Other potential tax exemptions include start-up costs, property, industrial and commercial profits, services and materials required for production, as well as energy use. Exemption periods range from 10 to 15 years and include waivers of duties and license fees.</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Specific additional investment incentives are available to companies operating in remote regions, energy, agro-industry and low cost housing sectors.</w:t>
                            </w:r>
                            <w:r w:rsidRPr="009371A4">
                              <w:rPr>
                                <w:rFonts w:cs="Segoe UI"/>
                                <w:color w:val="366092" w:themeColor="text2"/>
                                <w:sz w:val="18"/>
                                <w:szCs w:val="18"/>
                                <w:vertAlign w:val="superscript"/>
                              </w:rPr>
                              <w:footnoteRef/>
                            </w:r>
                          </w:p>
                          <w:p w14:paraId="5FD69379"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Enhancing related-party business transaction disclosure requirements to protect minority investor interests and combat insider dealing. This will give shareholders increased transparency into business transactions and affords them the right to appoint independent auditors.</w:t>
                            </w:r>
                            <w:r w:rsidRPr="009371A4">
                              <w:rPr>
                                <w:rFonts w:cs="Segoe UI"/>
                                <w:color w:val="366092" w:themeColor="text2"/>
                                <w:sz w:val="18"/>
                                <w:szCs w:val="18"/>
                                <w:vertAlign w:val="superscript"/>
                              </w:rPr>
                              <w:footnoteRef/>
                            </w:r>
                          </w:p>
                          <w:p w14:paraId="45E47980" w14:textId="77777777" w:rsidR="00BB3453" w:rsidRDefault="00BB3453" w:rsidP="00415D42">
                            <w:pPr>
                              <w:spacing w:after="90"/>
                              <w:jc w:val="both"/>
                              <w:rPr>
                                <w:rFonts w:cs="Segoe UI"/>
                                <w:i/>
                                <w:color w:val="366092" w:themeColor="text2"/>
                                <w:sz w:val="18"/>
                                <w:szCs w:val="18"/>
                              </w:rPr>
                            </w:pPr>
                          </w:p>
                          <w:p w14:paraId="6915F698" w14:textId="77777777" w:rsidR="00BB3453" w:rsidRPr="009371A4" w:rsidRDefault="00BB3453" w:rsidP="00415D42">
                            <w:pPr>
                              <w:spacing w:after="90"/>
                              <w:jc w:val="both"/>
                              <w:rPr>
                                <w:rFonts w:cs="Segoe UI"/>
                                <w:i/>
                                <w:color w:val="366092" w:themeColor="text2"/>
                                <w:sz w:val="18"/>
                                <w:szCs w:val="18"/>
                              </w:rPr>
                            </w:pPr>
                            <w:r w:rsidRPr="009371A4">
                              <w:rPr>
                                <w:rFonts w:cs="Segoe UI"/>
                                <w:i/>
                                <w:color w:val="366092" w:themeColor="text2"/>
                                <w:sz w:val="18"/>
                                <w:szCs w:val="18"/>
                              </w:rPr>
                              <w:t>Source: World Bank Doing Business, US State Department Investment Climate Statements for 2016, PriceWaterHouseCoopers: Paying Taxes 2011: The Global Picture</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497707" id="_x0000_s1041" style="position:absolute;margin-left:415.35pt;margin-top:50.05pt;width:466.55pt;height:423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" o:allowoverlap="f" fillcolor="#e6f2f3" strokecolor="#7f7f7f" strokeweight="1.25pt">
                <v:stroke opacity="59624f"/>
                <v:textbox inset="14.4pt,7.2pt,14.4pt,7.2pt">
                  <w:txbxContent>
                    <w:p w14:paraId="48FAF948" w14:textId="77777777" w:rsidR="00BB3453" w:rsidRPr="006A5E47" w:rsidRDefault="00BB3453" w:rsidP="00415D42">
                      <w:pPr>
                        <w:spacing w:before="360" w:after="360" w:line="240" w:lineRule="auto"/>
                        <w:rPr>
                          <w:rFonts w:eastAsiaTheme="majorEastAsia" w:cs="Segoe UI"/>
                          <w:color w:val="ADD2D7" w:themeColor="accent1"/>
                          <w:sz w:val="32"/>
                          <w:szCs w:val="32"/>
                        </w:rPr>
                      </w:pPr>
                      <w:r w:rsidRPr="009371A4">
                        <w:rPr>
                          <w:rFonts w:eastAsiaTheme="majorEastAsia" w:cs="Segoe UI"/>
                          <w:color w:val="ADD2D7" w:themeColor="accent1"/>
                          <w:sz w:val="32"/>
                          <w:szCs w:val="32"/>
                        </w:rPr>
                        <w:t>Niger’s business climate</w:t>
                      </w:r>
                    </w:p>
                    <w:p w14:paraId="5F3A2BCD" w14:textId="77777777" w:rsidR="00BB3453" w:rsidRPr="009371A4" w:rsidRDefault="00BB3453" w:rsidP="00415D42">
                      <w:pPr>
                        <w:spacing w:after="90"/>
                        <w:jc w:val="both"/>
                        <w:rPr>
                          <w:rFonts w:cs="Segoe UI"/>
                          <w:color w:val="366092" w:themeColor="text2"/>
                          <w:sz w:val="18"/>
                          <w:szCs w:val="18"/>
                        </w:rPr>
                      </w:pPr>
                      <w:r w:rsidRPr="009371A4">
                        <w:rPr>
                          <w:rFonts w:cs="Segoe UI"/>
                          <w:color w:val="366092" w:themeColor="text2"/>
                          <w:sz w:val="18"/>
                          <w:szCs w:val="18"/>
                        </w:rPr>
                        <w:t>Doing business in Niger is challenging. This is reflected in its ranking of 150</w:t>
                      </w:r>
                      <w:r w:rsidRPr="009371A4">
                        <w:rPr>
                          <w:rFonts w:cs="Segoe UI"/>
                          <w:color w:val="366092" w:themeColor="text2"/>
                          <w:sz w:val="18"/>
                          <w:szCs w:val="18"/>
                          <w:vertAlign w:val="superscript"/>
                        </w:rPr>
                        <w:t>th</w:t>
                      </w:r>
                      <w:r w:rsidRPr="009371A4">
                        <w:rPr>
                          <w:rFonts w:cs="Segoe UI"/>
                          <w:color w:val="366092" w:themeColor="text2"/>
                          <w:sz w:val="18"/>
                          <w:szCs w:val="18"/>
                        </w:rPr>
                        <w:t xml:space="preserve"> in the World Bank’s Ease of Doing Business rankings, with construction permits, electricity access, and paying taxes flagged as particular areas of difficulty. Nonetheless, Niger has made significant recent strides in improving its overall business climate. Notable examples of this include</w:t>
                      </w:r>
                    </w:p>
                    <w:p w14:paraId="55AF3FD9"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Reducing the minimum capital requirement to start a business, and replacing the requirement for a physical copy of founders’ criminal records with sworn declarations at the time of company registration.</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This has made it easier for early-stage entrepreneurs to incorporate and has reduced the time needed to start a business to five days for individuals, and to seven days for legal entities.</w:t>
                      </w:r>
                      <w:r w:rsidRPr="009371A4">
                        <w:rPr>
                          <w:rFonts w:cs="Segoe UI"/>
                          <w:color w:val="366092" w:themeColor="text2"/>
                          <w:sz w:val="18"/>
                          <w:szCs w:val="18"/>
                          <w:vertAlign w:val="superscript"/>
                        </w:rPr>
                        <w:footnoteRef/>
                      </w:r>
                    </w:p>
                    <w:p w14:paraId="3F3142A5"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Reducing the corporate income tax rate from 35% to 30% in 2010.</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Depending on the type of business, the Government of Niger negotiates with businesses and regularly waives taxes for companies involved in the import, export, and production of goods in Niger. Industrial investments under the Investment Code also enjoy some tax and customs exemptions, including in some cases exemptions from the value-added tax (VAT). Other potential tax exemptions include start-up costs, property, industrial and commercial profits, services and materials required for production, as well as energy use. Exemption periods range from 10 to 15 years and include waivers of duties and license fees.</w:t>
                      </w:r>
                      <w:r w:rsidRPr="009371A4">
                        <w:rPr>
                          <w:rFonts w:cs="Segoe UI"/>
                          <w:color w:val="366092" w:themeColor="text2"/>
                          <w:sz w:val="18"/>
                          <w:szCs w:val="18"/>
                          <w:vertAlign w:val="superscript"/>
                        </w:rPr>
                        <w:footnoteRef/>
                      </w:r>
                      <w:r w:rsidRPr="009371A4">
                        <w:rPr>
                          <w:rFonts w:cs="Segoe UI"/>
                          <w:color w:val="366092" w:themeColor="text2"/>
                          <w:sz w:val="18"/>
                          <w:szCs w:val="18"/>
                        </w:rPr>
                        <w:t xml:space="preserve"> Specific additional investment incentives are available to companies operating in remote regions, energy, agro-industry and low cost housing sectors.</w:t>
                      </w:r>
                      <w:r w:rsidRPr="009371A4">
                        <w:rPr>
                          <w:rFonts w:cs="Segoe UI"/>
                          <w:color w:val="366092" w:themeColor="text2"/>
                          <w:sz w:val="18"/>
                          <w:szCs w:val="18"/>
                          <w:vertAlign w:val="superscript"/>
                        </w:rPr>
                        <w:footnoteRef/>
                      </w:r>
                    </w:p>
                    <w:p w14:paraId="5FD69379" w14:textId="77777777" w:rsidR="00BB3453" w:rsidRPr="009371A4" w:rsidRDefault="00BB3453" w:rsidP="006A7E1D">
                      <w:pPr>
                        <w:numPr>
                          <w:ilvl w:val="0"/>
                          <w:numId w:val="16"/>
                        </w:numPr>
                        <w:spacing w:after="90"/>
                        <w:jc w:val="both"/>
                        <w:rPr>
                          <w:rFonts w:cs="Segoe UI"/>
                          <w:color w:val="366092" w:themeColor="text2"/>
                          <w:sz w:val="18"/>
                          <w:szCs w:val="18"/>
                        </w:rPr>
                      </w:pPr>
                      <w:r w:rsidRPr="009371A4">
                        <w:rPr>
                          <w:rFonts w:cs="Segoe UI"/>
                          <w:color w:val="366092" w:themeColor="text2"/>
                          <w:sz w:val="18"/>
                          <w:szCs w:val="18"/>
                        </w:rPr>
                        <w:t>Enhancing related-party business transaction disclosure requirements to protect minority investor interests and combat insider dealing. This will give shareholders increased transparency into business transactions and affords them the right to appoint independent auditors.</w:t>
                      </w:r>
                      <w:r w:rsidRPr="009371A4">
                        <w:rPr>
                          <w:rFonts w:cs="Segoe UI"/>
                          <w:color w:val="366092" w:themeColor="text2"/>
                          <w:sz w:val="18"/>
                          <w:szCs w:val="18"/>
                          <w:vertAlign w:val="superscript"/>
                        </w:rPr>
                        <w:footnoteRef/>
                      </w:r>
                    </w:p>
                    <w:p w14:paraId="45E47980" w14:textId="77777777" w:rsidR="00BB3453" w:rsidRDefault="00BB3453" w:rsidP="00415D42">
                      <w:pPr>
                        <w:spacing w:after="90"/>
                        <w:jc w:val="both"/>
                        <w:rPr>
                          <w:rFonts w:cs="Segoe UI"/>
                          <w:i/>
                          <w:color w:val="366092" w:themeColor="text2"/>
                          <w:sz w:val="18"/>
                          <w:szCs w:val="18"/>
                        </w:rPr>
                      </w:pPr>
                    </w:p>
                    <w:p w14:paraId="6915F698" w14:textId="77777777" w:rsidR="00BB3453" w:rsidRPr="009371A4" w:rsidRDefault="00BB3453" w:rsidP="00415D42">
                      <w:pPr>
                        <w:spacing w:after="90"/>
                        <w:jc w:val="both"/>
                        <w:rPr>
                          <w:rFonts w:cs="Segoe UI"/>
                          <w:i/>
                          <w:color w:val="366092" w:themeColor="text2"/>
                          <w:sz w:val="18"/>
                          <w:szCs w:val="18"/>
                        </w:rPr>
                      </w:pPr>
                      <w:r w:rsidRPr="009371A4">
                        <w:rPr>
                          <w:rFonts w:cs="Segoe UI"/>
                          <w:i/>
                          <w:color w:val="366092" w:themeColor="text2"/>
                          <w:sz w:val="18"/>
                          <w:szCs w:val="18"/>
                        </w:rPr>
                        <w:t xml:space="preserve">Source: World Bank Doing Business, US State Department Investment Climate Statements for 2016, </w:t>
                      </w:r>
                      <w:proofErr w:type="spellStart"/>
                      <w:r w:rsidRPr="009371A4">
                        <w:rPr>
                          <w:rFonts w:cs="Segoe UI"/>
                          <w:i/>
                          <w:color w:val="366092" w:themeColor="text2"/>
                          <w:sz w:val="18"/>
                          <w:szCs w:val="18"/>
                        </w:rPr>
                        <w:t>PriceWaterHouseCoopers</w:t>
                      </w:r>
                      <w:proofErr w:type="spellEnd"/>
                      <w:r w:rsidRPr="009371A4">
                        <w:rPr>
                          <w:rFonts w:cs="Segoe UI"/>
                          <w:i/>
                          <w:color w:val="366092" w:themeColor="text2"/>
                          <w:sz w:val="18"/>
                          <w:szCs w:val="18"/>
                        </w:rPr>
                        <w:t>: Paying Taxes 2011: The Global Picture</w:t>
                      </w:r>
                    </w:p>
                  </w:txbxContent>
                </v:textbox>
                <w10:wrap type="square" anchorx="margin" anchory="margin"/>
              </v:rect>
            </w:pict>
          </mc:Fallback>
        </mc:AlternateContent>
      </w:r>
      <w:r w:rsidRPr="00806B69">
        <w:rPr>
          <w:noProof/>
        </w:rPr>
        <mc:AlternateContent>
          <mc:Choice Requires="wps">
            <w:drawing>
              <wp:anchor distT="0" distB="0" distL="114300" distR="114300" simplePos="0" relativeHeight="251737088" behindDoc="0" locked="0" layoutInCell="1" allowOverlap="1" wp14:anchorId="2A996CCF" wp14:editId="3D3F6FB0">
                <wp:simplePos x="0" y="0"/>
                <wp:positionH relativeFrom="margin">
                  <wp:align>right</wp:align>
                </wp:positionH>
                <wp:positionV relativeFrom="paragraph">
                  <wp:posOffset>356235</wp:posOffset>
                </wp:positionV>
                <wp:extent cx="5925185" cy="257175"/>
                <wp:effectExtent l="0" t="0" r="0" b="9525"/>
                <wp:wrapTopAndBottom/>
                <wp:docPr id="27" name="Text Box 27"/>
                <wp:cNvGraphicFramePr/>
                <a:graphic xmlns:a="http://schemas.openxmlformats.org/drawingml/2006/main">
                  <a:graphicData uri="http://schemas.microsoft.com/office/word/2010/wordprocessingShape">
                    <wps:wsp>
                      <wps:cNvSpPr txBox="1"/>
                      <wps:spPr>
                        <a:xfrm>
                          <a:off x="0" y="0"/>
                          <a:ext cx="5925185" cy="257175"/>
                        </a:xfrm>
                        <a:prstGeom prst="rect">
                          <a:avLst/>
                        </a:prstGeom>
                        <a:solidFill>
                          <a:prstClr val="white"/>
                        </a:solidFill>
                        <a:ln>
                          <a:noFill/>
                        </a:ln>
                      </wps:spPr>
                      <wps:txbx>
                        <w:txbxContent>
                          <w:p w14:paraId="4706318D" w14:textId="1D05AEBF" w:rsidR="00BB3453" w:rsidRPr="00415D42" w:rsidRDefault="00BB3453" w:rsidP="00415D42">
                            <w:pPr>
                              <w:pStyle w:val="Caption"/>
                            </w:pPr>
                            <w:bookmarkStart w:id="148" w:name="_Toc500969355"/>
                            <w:r w:rsidRPr="00415D42">
                              <w:t xml:space="preserve">Figure </w:t>
                            </w:r>
                            <w:fldSimple w:instr=" SEQ Figure \* ARABIC ">
                              <w:r>
                                <w:rPr>
                                  <w:noProof/>
                                </w:rPr>
                                <w:t>18</w:t>
                              </w:r>
                            </w:fldSimple>
                            <w:r w:rsidRPr="00415D42">
                              <w:t xml:space="preserve">: </w:t>
                            </w:r>
                            <w:r>
                              <w:t>T</w:t>
                            </w:r>
                            <w:r w:rsidRPr="00415D42">
                              <w:t>he business environment in Niger</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96CCF" id="Text Box 27" o:spid="_x0000_s1042" type="#_x0000_t202" style="position:absolute;margin-left:415.35pt;margin-top:28.05pt;width:466.55pt;height:20.25pt;z-index:251737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" stroked="f">
                <v:textbox inset="0,0,0,0">
                  <w:txbxContent>
                    <w:p w14:paraId="4706318D" w14:textId="1D05AEBF" w:rsidR="00BB3453" w:rsidRPr="00415D42" w:rsidRDefault="00BB3453" w:rsidP="00415D42">
                      <w:pPr>
                        <w:pStyle w:val="Caption"/>
                      </w:pPr>
                      <w:bookmarkStart w:id="163" w:name="_Toc500969355"/>
                      <w:r w:rsidRPr="00415D42">
                        <w:t xml:space="preserve">Figure </w:t>
                      </w:r>
                      <w:fldSimple w:instr=" SEQ Figure \* ARABIC ">
                        <w:r>
                          <w:rPr>
                            <w:noProof/>
                          </w:rPr>
                          <w:t>18</w:t>
                        </w:r>
                      </w:fldSimple>
                      <w:r w:rsidRPr="00415D42">
                        <w:t xml:space="preserve">: </w:t>
                      </w:r>
                      <w:r>
                        <w:t>T</w:t>
                      </w:r>
                      <w:r w:rsidRPr="00415D42">
                        <w:t>he business environment in Niger</w:t>
                      </w:r>
                      <w:bookmarkEnd w:id="163"/>
                    </w:p>
                  </w:txbxContent>
                </v:textbox>
                <w10:wrap type="topAndBottom" anchorx="margin"/>
              </v:shape>
            </w:pict>
          </mc:Fallback>
        </mc:AlternateContent>
      </w:r>
    </w:p>
    <w:p w14:paraId="27FC3B5F" w14:textId="46252872" w:rsidR="007C107F" w:rsidRDefault="007C107F" w:rsidP="009371A4">
      <w:pPr>
        <w:pStyle w:val="H4NEWreportStyle"/>
      </w:pPr>
      <w:r w:rsidRPr="00A615EB">
        <w:t>Local businesses</w:t>
      </w:r>
    </w:p>
    <w:p w14:paraId="127E680F" w14:textId="4DF8BFC2" w:rsidR="007C107F" w:rsidRDefault="0094336B" w:rsidP="004710F2">
      <w:pPr>
        <w:jc w:val="both"/>
      </w:pPr>
      <w:r w:rsidRPr="00806B69">
        <w:t>Though several businesses in Niger are active in the import, sale, installation, and maintenance of solar technology, only a small number of these are currently operating or are planning to operate scalable, market-driven business models focusing on sales to end-consumers (whether these end-consumers be households, productive users, or communities). Instead, based on extensive market consultations, the vast majority of solar activity to date has been concentrated in</w:t>
      </w:r>
      <w:r>
        <w:t xml:space="preserve"> </w:t>
      </w:r>
      <w:r w:rsidR="007C107F">
        <w:t xml:space="preserve">standalone, one-off projects for institutional clients such as NGOs, development organizations, and government agencies. </w:t>
      </w:r>
    </w:p>
    <w:p w14:paraId="37A427A7" w14:textId="5A8424FB" w:rsidR="004710F2" w:rsidRDefault="007C107F" w:rsidP="004710F2">
      <w:pPr>
        <w:jc w:val="both"/>
      </w:pPr>
      <w:r w:rsidRPr="0060740A">
        <w:lastRenderedPageBreak/>
        <w:t>At present, the</w:t>
      </w:r>
      <w:r w:rsidR="00143157">
        <w:t xml:space="preserve">re is </w:t>
      </w:r>
      <w:r w:rsidRPr="0060740A">
        <w:t>only</w:t>
      </w:r>
      <w:r w:rsidR="006C473F">
        <w:t xml:space="preserve"> one</w:t>
      </w:r>
      <w:r w:rsidRPr="0060740A">
        <w:t xml:space="preserve"> entity in Niger engaged in direct distribution of solar devices to </w:t>
      </w:r>
      <w:r w:rsidR="004710F2" w:rsidRPr="0060740A">
        <w:t xml:space="preserve">private household </w:t>
      </w:r>
      <w:r w:rsidRPr="0060740A">
        <w:t xml:space="preserve">end-consumers. </w:t>
      </w:r>
      <w:r w:rsidRPr="0060740A">
        <w:rPr>
          <w:rFonts w:cs="Segoe UI"/>
        </w:rPr>
        <w:t>The</w:t>
      </w:r>
      <w:r w:rsidR="005B1058">
        <w:rPr>
          <w:rFonts w:cs="Segoe UI"/>
        </w:rPr>
        <w:t>y offer a range of solar lanterns</w:t>
      </w:r>
      <w:r>
        <w:t>, some also including mobile phone charging capabilities, but sales have been relatively modest to date</w:t>
      </w:r>
      <w:r w:rsidR="004710F2">
        <w:t xml:space="preserve">. </w:t>
      </w:r>
    </w:p>
    <w:p w14:paraId="2273A714" w14:textId="4A1EB673" w:rsidR="007C107F" w:rsidRDefault="007C107F" w:rsidP="004710F2">
      <w:pPr>
        <w:jc w:val="both"/>
      </w:pPr>
      <w:r>
        <w:t xml:space="preserve">Niger’s second principal private-sector effort at developing a sustainable off-grid solar market came from a partnership between </w:t>
      </w:r>
      <w:r w:rsidR="00B07573">
        <w:t xml:space="preserve">a </w:t>
      </w:r>
      <w:r>
        <w:t xml:space="preserve">local solar company and </w:t>
      </w:r>
      <w:r w:rsidR="009A6CA9">
        <w:t>a</w:t>
      </w:r>
      <w:r w:rsidR="006C473F">
        <w:t>n NGO</w:t>
      </w:r>
      <w:r>
        <w:t xml:space="preserve">, both members of the industry </w:t>
      </w:r>
      <w:r w:rsidRPr="003E5039">
        <w:t xml:space="preserve">association APE-Solaire, formed in 2013 between a group of solar companies, ASUSU, and SNV. </w:t>
      </w:r>
      <w:r w:rsidR="009A6CA9" w:rsidRPr="003E5039">
        <w:t xml:space="preserve">This company </w:t>
      </w:r>
      <w:r w:rsidRPr="003E5039">
        <w:t>imported</w:t>
      </w:r>
      <w:r>
        <w:t xml:space="preserve"> </w:t>
      </w:r>
      <w:r w:rsidR="003F2849">
        <w:t xml:space="preserve">several </w:t>
      </w:r>
      <w:r>
        <w:t>thousand solar kits into Niger, with the aim of unlocking the consumer market through consumer finance partnerships with ASUSU.</w:t>
      </w:r>
      <w:r w:rsidR="008C4464">
        <w:t xml:space="preserve"> </w:t>
      </w:r>
      <w:r>
        <w:t xml:space="preserve">Based on consultations with APE members, despite some initial success, the initiative ran into a number of obstacles including a lower than expected proportion of consumers who qualified for ASUSU consumer loans, low levels of consumer awareness around the benefits of high-quality solar products, as well as ongoing concerns about the impact of import duties on commercial sustainability. </w:t>
      </w:r>
    </w:p>
    <w:p w14:paraId="49DD71E6" w14:textId="5FC91CF6" w:rsidR="007C107F" w:rsidRPr="002678DD" w:rsidRDefault="007C107F" w:rsidP="004710F2">
      <w:pPr>
        <w:jc w:val="both"/>
      </w:pPr>
      <w:r>
        <w:t xml:space="preserve">A few other companies consulted are piloting or designing end-consumer business models, though these are at best early stage. </w:t>
      </w:r>
      <w:r w:rsidR="005B1058">
        <w:t xml:space="preserve">There were also some attempts to </w:t>
      </w:r>
      <w:r>
        <w:t xml:space="preserve">roll out </w:t>
      </w:r>
      <w:r w:rsidR="009A6CA9">
        <w:t xml:space="preserve">PAYG </w:t>
      </w:r>
      <w:r>
        <w:t>solar home systems models in Niger in the near future</w:t>
      </w:r>
      <w:r w:rsidR="005B1058">
        <w:t xml:space="preserve">, but it </w:t>
      </w:r>
      <w:r>
        <w:t>is unclear if and when these companies will be able to deploy initia</w:t>
      </w:r>
      <w:r w:rsidR="00AA64E3">
        <w:t xml:space="preserve">l units, let alone reach scale; it appears likely that significant financial support and technical assistance will be required to set up the platform and systemic capabilities to operate a </w:t>
      </w:r>
      <w:r w:rsidR="009A6CA9">
        <w:t xml:space="preserve">PAYG </w:t>
      </w:r>
      <w:r w:rsidR="00AA64E3">
        <w:t>system.</w:t>
      </w:r>
    </w:p>
    <w:p w14:paraId="77EF17D7" w14:textId="2045D5C6" w:rsidR="00713FFA" w:rsidRPr="005E196D" w:rsidRDefault="007C107F" w:rsidP="00713FFA">
      <w:pPr>
        <w:jc w:val="both"/>
      </w:pPr>
      <w:r>
        <w:t>The rest of Niger’s local solar supply side is made of a small group of 10-15 Engineering, Procurement and Construction firms (EPC</w:t>
      </w:r>
      <w:r w:rsidR="009A6CA9">
        <w:t>s</w:t>
      </w:r>
      <w:r>
        <w:t xml:space="preserve">), who source, install, and maintain solar installations as one off-projects for institutional clients. Exact services provided vary by company, but typically include a combination of solar and non-solar offerings such as borehole digging, solar pumping, irrigation projects, solar street lighting, backup power systems for commercial and administrative buildings, and community electrification projects (e.g. mini-grids). Given the nature of these projects, system sizes tend to be relatively large, ranging from 500W or so at the very low </w:t>
      </w:r>
      <w:r w:rsidR="001E7704">
        <w:t xml:space="preserve">end </w:t>
      </w:r>
      <w:r>
        <w:t xml:space="preserve">to several dozen kW for large irrigation projects. </w:t>
      </w:r>
      <w:r w:rsidR="00713FFA">
        <w:t xml:space="preserve">Some of these businesses expressed interest in </w:t>
      </w:r>
      <w:r w:rsidR="00713FFA" w:rsidRPr="005E196D">
        <w:t>diversifying into end-consumer distribution, though most still saw plenty of commercial opportunity in their core business lines and very few expressed willingness to manage end-consumer financing in-house, preferring to partner with external finance providers.</w:t>
      </w:r>
    </w:p>
    <w:p w14:paraId="18706D05" w14:textId="0DA01180" w:rsidR="00273331" w:rsidRDefault="00713FFA" w:rsidP="005E196D">
      <w:pPr>
        <w:jc w:val="both"/>
      </w:pPr>
      <w:r w:rsidRPr="005E196D">
        <w:t xml:space="preserve">In absence of a developed solar market for end consumer distribution, other market players including general electronics importers and distributors, as well as FMCG wholesalers and the large supermarket chains, might be best suited to fill the void in the distribution of household-level solar solutions, especially solar lanterns that can be sold over-the-counter without consumer finance. </w:t>
      </w:r>
      <w:r w:rsidR="006E3B4E" w:rsidRPr="005E196D">
        <w:t xml:space="preserve">Unfortunately, many </w:t>
      </w:r>
      <w:r w:rsidRPr="005E196D">
        <w:t>of these supply chains have limited reach</w:t>
      </w:r>
      <w:r w:rsidR="009A6CA9">
        <w:t xml:space="preserve"> </w:t>
      </w:r>
      <w:r w:rsidRPr="005E196D">
        <w:t>outside of the major cities and towns. Also, consultations revealed that the market, especially for electronics distributors and wholesalers, is highly fragmented, and the many players vary considerably regardin</w:t>
      </w:r>
      <w:r w:rsidR="006E3B4E" w:rsidRPr="005E196D">
        <w:t>g sophistication level and size, with the majority being small players serving only one regional area.</w:t>
      </w:r>
      <w:r w:rsidR="00273331" w:rsidRPr="005E196D">
        <w:t xml:space="preserve"> Consultations revealed that these channels are generally open to including solar products in their product ranges, but only once the market has been sufficiently catalyzed that </w:t>
      </w:r>
      <w:r w:rsidR="000F70FF" w:rsidRPr="005E196D">
        <w:t xml:space="preserve">a strong </w:t>
      </w:r>
      <w:r w:rsidR="00273331" w:rsidRPr="005E196D">
        <w:t>market</w:t>
      </w:r>
      <w:r w:rsidR="000F70FF" w:rsidRPr="005E196D">
        <w:t xml:space="preserve"> pull f</w:t>
      </w:r>
      <w:r w:rsidR="00273331" w:rsidRPr="005E196D">
        <w:t>or these products reduces their risk of low stock</w:t>
      </w:r>
      <w:r w:rsidR="000F70FF" w:rsidRPr="005E196D">
        <w:t xml:space="preserve"> </w:t>
      </w:r>
      <w:r w:rsidR="00273331" w:rsidRPr="005E196D">
        <w:t>turns and inventory write-offs.</w:t>
      </w:r>
      <w:r w:rsidR="00273331">
        <w:t xml:space="preserve"> </w:t>
      </w:r>
    </w:p>
    <w:p w14:paraId="736603C8" w14:textId="6BAA2973" w:rsidR="008D28E7" w:rsidRPr="00467566" w:rsidRDefault="008D28E7" w:rsidP="008D28E7">
      <w:pPr>
        <w:jc w:val="both"/>
        <w:rPr>
          <w:rFonts w:cs="Segoe UI"/>
        </w:rPr>
      </w:pPr>
      <w:r w:rsidRPr="00467566">
        <w:rPr>
          <w:rFonts w:cs="Segoe UI"/>
        </w:rPr>
        <w:lastRenderedPageBreak/>
        <w:t xml:space="preserve">All solar companies and other distributors consulted are facing quite considerable challenges, </w:t>
      </w:r>
      <w:r w:rsidRPr="003E5039">
        <w:rPr>
          <w:rFonts w:cs="Segoe UI"/>
        </w:rPr>
        <w:t>as described in further detail in chapter 6.</w:t>
      </w:r>
      <w:r w:rsidRPr="00467566">
        <w:rPr>
          <w:rFonts w:cs="Segoe UI"/>
        </w:rPr>
        <w:t xml:space="preserve"> The solar market being in its infancy translates directly into lacking consumer awareness, but equally into lacking management experience. As a result, significant investment in technical assistance will likely be required to strengthen the management capacity of local solar businesses - especially if pay-as-you-go operations are to be introduced to the market - and ensure an efficient transfer of learnings from international markets.    </w:t>
      </w:r>
    </w:p>
    <w:p w14:paraId="657F344E" w14:textId="6539A2F4" w:rsidR="007C107F" w:rsidRPr="00A615EB" w:rsidRDefault="007C107F" w:rsidP="00955049">
      <w:pPr>
        <w:pStyle w:val="H4NEWreportStyle"/>
      </w:pPr>
      <w:r w:rsidRPr="00A615EB">
        <w:t>International businesses</w:t>
      </w:r>
    </w:p>
    <w:p w14:paraId="5C068088" w14:textId="7FAAE7A6" w:rsidR="007C107F" w:rsidRPr="003E5039" w:rsidRDefault="007C107F" w:rsidP="004710F2">
      <w:pPr>
        <w:jc w:val="both"/>
        <w:rPr>
          <w:rFonts w:cs="Segoe UI"/>
        </w:rPr>
      </w:pPr>
      <w:r>
        <w:rPr>
          <w:rFonts w:cs="Segoe UI"/>
        </w:rPr>
        <w:t xml:space="preserve">Several international solar companies have been extremely successful </w:t>
      </w:r>
      <w:r w:rsidR="009A6CA9">
        <w:rPr>
          <w:rFonts w:cs="Segoe UI"/>
        </w:rPr>
        <w:t xml:space="preserve">in </w:t>
      </w:r>
      <w:r>
        <w:rPr>
          <w:rFonts w:cs="Segoe UI"/>
        </w:rPr>
        <w:t>serving end-consumer markets outside of Niger, particularly in East Africa, but increasingly also in a small number of countries in West Africa. These businesses include</w:t>
      </w:r>
      <w:r w:rsidR="009A6CA9">
        <w:rPr>
          <w:rFonts w:cs="Segoe UI"/>
        </w:rPr>
        <w:t xml:space="preserve"> </w:t>
      </w:r>
      <w:r>
        <w:rPr>
          <w:rFonts w:cs="Segoe UI"/>
        </w:rPr>
        <w:t>the major solar home systems businesses</w:t>
      </w:r>
      <w:r>
        <w:rPr>
          <w:rFonts w:eastAsia="Times New Roman" w:cstheme="minorHAnsi"/>
          <w:color w:val="363636"/>
        </w:rPr>
        <w:t xml:space="preserve"> who jointly account for close to</w:t>
      </w:r>
      <w:r w:rsidRPr="005E5583">
        <w:rPr>
          <w:rFonts w:eastAsia="Times New Roman" w:cstheme="minorHAnsi"/>
          <w:color w:val="363636"/>
        </w:rPr>
        <w:t xml:space="preserve"> a million solar home systems so</w:t>
      </w:r>
      <w:r>
        <w:rPr>
          <w:rFonts w:eastAsia="Times New Roman" w:cstheme="minorHAnsi"/>
          <w:color w:val="363636"/>
        </w:rPr>
        <w:t>ld across the continent, as well as end-consumer solar irrigation companies.</w:t>
      </w:r>
    </w:p>
    <w:p w14:paraId="007DC657" w14:textId="73F5171F" w:rsidR="007C107F" w:rsidRDefault="007C107F" w:rsidP="004710F2">
      <w:pPr>
        <w:jc w:val="both"/>
        <w:rPr>
          <w:rFonts w:eastAsia="Times New Roman" w:cstheme="minorHAnsi"/>
          <w:color w:val="363636"/>
        </w:rPr>
      </w:pPr>
      <w:r>
        <w:rPr>
          <w:rFonts w:eastAsia="Times New Roman" w:cstheme="minorHAnsi"/>
          <w:color w:val="363636"/>
        </w:rPr>
        <w:t>These companies’ efforts in West Africa have predominantly focused on larger, more developed markets</w:t>
      </w:r>
      <w:r w:rsidR="009A6CA9">
        <w:rPr>
          <w:rFonts w:eastAsia="Times New Roman" w:cstheme="minorHAnsi"/>
          <w:color w:val="363636"/>
        </w:rPr>
        <w:t>, such as</w:t>
      </w:r>
      <w:r>
        <w:rPr>
          <w:rFonts w:eastAsia="Times New Roman" w:cstheme="minorHAnsi"/>
          <w:color w:val="363636"/>
        </w:rPr>
        <w:t xml:space="preserve"> </w:t>
      </w:r>
      <w:r w:rsidR="009A6CA9">
        <w:rPr>
          <w:rFonts w:eastAsia="Times New Roman" w:cstheme="minorHAnsi"/>
          <w:color w:val="363636"/>
        </w:rPr>
        <w:t xml:space="preserve">one company’s </w:t>
      </w:r>
      <w:r>
        <w:rPr>
          <w:rFonts w:eastAsia="Times New Roman" w:cstheme="minorHAnsi"/>
          <w:color w:val="363636"/>
        </w:rPr>
        <w:t xml:space="preserve">expansion into Cote d’Ivoire and </w:t>
      </w:r>
      <w:r w:rsidR="009A6CA9">
        <w:rPr>
          <w:rFonts w:eastAsia="Times New Roman" w:cstheme="minorHAnsi"/>
          <w:color w:val="363636"/>
        </w:rPr>
        <w:t>another successfully raising a large sum in</w:t>
      </w:r>
      <w:r>
        <w:rPr>
          <w:rFonts w:eastAsia="Times New Roman" w:cstheme="minorHAnsi"/>
          <w:color w:val="363636"/>
        </w:rPr>
        <w:t xml:space="preserve"> debt and equity financing to scale its pay-as-you-go solar activities in Nigeria. </w:t>
      </w:r>
      <w:r w:rsidR="009A6CA9">
        <w:rPr>
          <w:rFonts w:eastAsia="Times New Roman" w:cstheme="minorHAnsi"/>
          <w:color w:val="363636"/>
        </w:rPr>
        <w:t xml:space="preserve">There has also been an example of an established player entering the less mature West African market, in Benin. </w:t>
      </w:r>
    </w:p>
    <w:p w14:paraId="742E9E6A" w14:textId="18CA6DD0" w:rsidR="007C107F" w:rsidRDefault="007C107F" w:rsidP="004710F2">
      <w:pPr>
        <w:jc w:val="both"/>
        <w:rPr>
          <w:rFonts w:cs="Segoe UI"/>
        </w:rPr>
      </w:pPr>
      <w:r>
        <w:rPr>
          <w:rFonts w:eastAsia="Times New Roman" w:cstheme="minorHAnsi"/>
          <w:color w:val="363636"/>
        </w:rPr>
        <w:t xml:space="preserve">Several international solar companies consulted also view Niger as a potential long-term opportunity, </w:t>
      </w:r>
      <w:r w:rsidRPr="00DD38A9">
        <w:rPr>
          <w:rFonts w:cs="Segoe UI"/>
        </w:rPr>
        <w:t>but currently see other countries</w:t>
      </w:r>
      <w:r>
        <w:rPr>
          <w:rFonts w:cs="Segoe UI"/>
        </w:rPr>
        <w:t xml:space="preserve"> in the region as more attractive in terms of market size and ease to serve. For the most part, international businesses see more immediate opportunities in West African countries with larger populations, higher levels of purchasing power, and a more developed private sector for potential distribution and financing partnerships. </w:t>
      </w:r>
      <w:r w:rsidR="00CB7029" w:rsidRPr="00DF7C3B">
        <w:rPr>
          <w:rFonts w:cs="Segoe UI"/>
        </w:rPr>
        <w:t>In addition, international players have raised concerns about product affordability in the Nigerien market while product imports are charged with</w:t>
      </w:r>
      <w:r w:rsidR="00D54BB4" w:rsidRPr="00DF7C3B">
        <w:rPr>
          <w:rFonts w:cs="Segoe UI"/>
        </w:rPr>
        <w:t xml:space="preserve"> </w:t>
      </w:r>
      <w:r w:rsidR="004A7F8C" w:rsidRPr="00DF7C3B">
        <w:rPr>
          <w:rFonts w:cs="Segoe UI"/>
        </w:rPr>
        <w:t>high taxes and</w:t>
      </w:r>
      <w:r w:rsidR="00CB7029" w:rsidRPr="00DF7C3B">
        <w:rPr>
          <w:rFonts w:cs="Segoe UI"/>
        </w:rPr>
        <w:t xml:space="preserve"> import duties.</w:t>
      </w:r>
      <w:r w:rsidR="00CB7029">
        <w:rPr>
          <w:rFonts w:cs="Segoe UI"/>
        </w:rPr>
        <w:t xml:space="preserve">  </w:t>
      </w:r>
    </w:p>
    <w:p w14:paraId="3B804C29" w14:textId="6000ADC6" w:rsidR="007C107F" w:rsidRDefault="007C107F" w:rsidP="004710F2">
      <w:pPr>
        <w:jc w:val="both"/>
        <w:rPr>
          <w:rFonts w:cs="Segoe UI"/>
        </w:rPr>
      </w:pPr>
      <w:r>
        <w:rPr>
          <w:rFonts w:cs="Segoe UI"/>
        </w:rPr>
        <w:t>International solar companies reported that several development partners had approached them to discuss the necessary nature and level of incentive to encourage market entry to Niger, and many companies noted that with the right structures (for the most part substantial, low-complexity market expansion grants and low-cost working capital) several would be open to the possibility. At the same time, however, there are currently several development finance initiatives attempting to draw a limited number of solar companies into a range of Sub Saharan African markets</w:t>
      </w:r>
      <w:r>
        <w:rPr>
          <w:rStyle w:val="FootnoteReference"/>
          <w:rFonts w:cs="Segoe UI"/>
        </w:rPr>
        <w:footnoteReference w:id="56"/>
      </w:r>
      <w:r>
        <w:rPr>
          <w:rFonts w:cs="Segoe UI"/>
        </w:rPr>
        <w:t xml:space="preserve">, and the chances of success of new initiatives targeting international company expansion into Niger need to </w:t>
      </w:r>
      <w:r w:rsidR="0000036E">
        <w:rPr>
          <w:rFonts w:cs="Segoe UI"/>
        </w:rPr>
        <w:t xml:space="preserve">be </w:t>
      </w:r>
      <w:r>
        <w:rPr>
          <w:rFonts w:cs="Segoe UI"/>
        </w:rPr>
        <w:t>considered with these other competing initiatives in mind. Indeed, many of the larger solar players in Sub</w:t>
      </w:r>
      <w:r w:rsidR="009A6CA9">
        <w:rPr>
          <w:rFonts w:cs="Segoe UI"/>
        </w:rPr>
        <w:t>-</w:t>
      </w:r>
      <w:r>
        <w:rPr>
          <w:rFonts w:cs="Segoe UI"/>
        </w:rPr>
        <w:t xml:space="preserve">Saharan Africa are already thinly stretched across multiple countries due to both development finance incentive mechanisms and internal expansion decisions, and will need to consolidate in existing markets before considering potentially risky expansion propositions. In the short-term, it seems likely that initial market growth and development will need to be led predominantly by local players. </w:t>
      </w:r>
    </w:p>
    <w:p w14:paraId="43F68574" w14:textId="77777777" w:rsidR="007C107F" w:rsidRDefault="007C107F" w:rsidP="0054348A"/>
    <w:p w14:paraId="7C7220E4" w14:textId="6E1B93C8" w:rsidR="0054348A" w:rsidRDefault="009A6CA9" w:rsidP="00955049">
      <w:pPr>
        <w:pStyle w:val="H4NEWreportStyle"/>
      </w:pPr>
      <w:r w:rsidRPr="00FC6F3E">
        <w:rPr>
          <w:rFonts w:eastAsia="Arial" w:cs="Times New Roman"/>
          <w:noProof/>
        </w:rPr>
        <w:lastRenderedPageBreak/>
        <mc:AlternateContent>
          <mc:Choice Requires="wps">
            <w:drawing>
              <wp:anchor distT="182880" distB="182880" distL="182880" distR="182880" simplePos="0" relativeHeight="251743232" behindDoc="0" locked="0" layoutInCell="1" allowOverlap="0" wp14:anchorId="682EC884" wp14:editId="2F842D31">
                <wp:simplePos x="0" y="0"/>
                <wp:positionH relativeFrom="margin">
                  <wp:posOffset>0</wp:posOffset>
                </wp:positionH>
                <wp:positionV relativeFrom="paragraph">
                  <wp:posOffset>251452</wp:posOffset>
                </wp:positionV>
                <wp:extent cx="5924550" cy="7953375"/>
                <wp:effectExtent l="0" t="0" r="19050" b="22225"/>
                <wp:wrapSquare wrapText="bothSides"/>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953375"/>
                        </a:xfrm>
                        <a:prstGeom prst="rect">
                          <a:avLst/>
                        </a:prstGeom>
                        <a:solidFill>
                          <a:srgbClr val="84BCC4">
                            <a:lumMod val="20000"/>
                            <a:lumOff val="80000"/>
                          </a:srgbClr>
                        </a:solidFill>
                        <a:ln w="15875">
                          <a:solidFill>
                            <a:srgbClr val="FFFFFF">
                              <a:lumMod val="50000"/>
                              <a:alpha val="91000"/>
                            </a:srgbClr>
                          </a:solidFill>
                        </a:ln>
                        <a:effectLst/>
                        <a:extLst/>
                      </wps:spPr>
                      <wps:txbx>
                        <w:txbxContent>
                          <w:p w14:paraId="14D60A6E" w14:textId="77777777" w:rsidR="00BB3453" w:rsidRPr="0054348A" w:rsidRDefault="00BB3453" w:rsidP="0054348A">
                            <w:pPr>
                              <w:spacing w:before="360" w:after="360" w:line="240" w:lineRule="auto"/>
                              <w:rPr>
                                <w:rFonts w:eastAsia="Times New Roman" w:cs="Segoe UI"/>
                                <w:color w:val="ADD2D7"/>
                                <w:sz w:val="32"/>
                                <w:szCs w:val="32"/>
                              </w:rPr>
                            </w:pPr>
                            <w:r w:rsidRPr="0054348A">
                              <w:rPr>
                                <w:rFonts w:eastAsia="Times New Roman" w:cs="Segoe UI"/>
                                <w:color w:val="ADD2D7"/>
                                <w:sz w:val="32"/>
                                <w:szCs w:val="32"/>
                              </w:rPr>
                              <w:t>Current and recent solar initiatives in Niger</w:t>
                            </w:r>
                          </w:p>
                          <w:p w14:paraId="725ADFD2" w14:textId="77777777" w:rsidR="00BB3453" w:rsidRPr="0054348A" w:rsidRDefault="00BB3453" w:rsidP="0054348A">
                            <w:pPr>
                              <w:rPr>
                                <w:rFonts w:cs="Segoe UI"/>
                                <w:b/>
                                <w:color w:val="366092"/>
                                <w:sz w:val="18"/>
                                <w:u w:val="single"/>
                              </w:rPr>
                            </w:pPr>
                            <w:r w:rsidRPr="0054348A">
                              <w:rPr>
                                <w:rFonts w:cs="Segoe UI"/>
                                <w:b/>
                                <w:color w:val="366092"/>
                                <w:sz w:val="18"/>
                                <w:u w:val="single"/>
                              </w:rPr>
                              <w:t>PASE-SAFO (Safo-Maradi)</w:t>
                            </w:r>
                          </w:p>
                          <w:p w14:paraId="23496E88" w14:textId="40B8CFFC" w:rsidR="00BB3453" w:rsidRPr="0054348A" w:rsidRDefault="00BB3453" w:rsidP="0054348A">
                            <w:pPr>
                              <w:jc w:val="both"/>
                              <w:rPr>
                                <w:rFonts w:cs="Segoe UI"/>
                                <w:color w:val="366092"/>
                                <w:sz w:val="18"/>
                              </w:rPr>
                            </w:pPr>
                            <w:r w:rsidRPr="0054348A">
                              <w:rPr>
                                <w:rFonts w:cs="Segoe UI"/>
                                <w:color w:val="366092"/>
                                <w:sz w:val="18"/>
                              </w:rPr>
                              <w:t xml:space="preserve">Program to increase access to energy services for the rural community of Safo (PASE – Safo). The program aims to contribute to economic and social growth, as well as poverty eradication by providing infrastructure to improve access to modern energy services. PASE-SAFO is the first phase of the Program of National Reference for Access to Modern Energy Services of Niger (PRASE) and is funded by the European Union (EU), United Nations Development Program (UNDP) and the Global Environment Facility (GEF). </w:t>
                            </w:r>
                          </w:p>
                          <w:p w14:paraId="532218F8" w14:textId="77777777" w:rsidR="00BB3453" w:rsidRPr="0054348A" w:rsidRDefault="00BB3453" w:rsidP="0054348A">
                            <w:pPr>
                              <w:jc w:val="both"/>
                              <w:rPr>
                                <w:rFonts w:cs="Segoe UI"/>
                                <w:color w:val="366092"/>
                                <w:sz w:val="18"/>
                              </w:rPr>
                            </w:pPr>
                            <w:r w:rsidRPr="0054348A">
                              <w:rPr>
                                <w:rFonts w:cs="Segoe UI"/>
                                <w:color w:val="366092"/>
                                <w:sz w:val="18"/>
                              </w:rPr>
                              <w:t xml:space="preserve">In October 2013, five pilots for agricultural development were established to equip Safo with solar irrigation systems. Currently, pumping tests are underway to equip 10 additional villages with seven boreholes, as well as plans to drill an additional two large-scale boreholes to pump and supply farm units under a modern solar irrigation system. </w:t>
                            </w:r>
                          </w:p>
                          <w:p w14:paraId="5E24B975" w14:textId="77777777" w:rsidR="00BB3453" w:rsidRPr="0054348A" w:rsidRDefault="00BB3453" w:rsidP="0054348A">
                            <w:pPr>
                              <w:rPr>
                                <w:rFonts w:cs="Segoe UI"/>
                                <w:b/>
                                <w:color w:val="366092"/>
                                <w:sz w:val="18"/>
                                <w:u w:val="single"/>
                              </w:rPr>
                            </w:pPr>
                            <w:r w:rsidRPr="0054348A">
                              <w:rPr>
                                <w:rFonts w:cs="Segoe UI"/>
                                <w:b/>
                                <w:color w:val="366092"/>
                                <w:sz w:val="18"/>
                                <w:u w:val="single"/>
                              </w:rPr>
                              <w:t>ANPER</w:t>
                            </w:r>
                          </w:p>
                          <w:p w14:paraId="41EBB5C4" w14:textId="77777777" w:rsidR="00BB3453" w:rsidRPr="0054348A" w:rsidRDefault="00BB3453" w:rsidP="0054348A">
                            <w:pPr>
                              <w:jc w:val="both"/>
                              <w:rPr>
                                <w:rFonts w:cs="Segoe UI"/>
                                <w:color w:val="366092"/>
                                <w:sz w:val="18"/>
                              </w:rPr>
                            </w:pPr>
                            <w:r w:rsidRPr="0054348A">
                              <w:rPr>
                                <w:rFonts w:cs="Segoe UI"/>
                                <w:color w:val="366092"/>
                                <w:sz w:val="18"/>
                              </w:rPr>
                              <w:t>The Nigerien Agency for the Promotion of Electrification in Rural Areas (ANPER) is undertaking projects to increase access to electricity in 200 rural villages across Niger through solar photovoltaic systems. The specific goals of the project include installing 200 mini solar power stations in the 200 villages and equipping 45 MAEP and five farm sites with solar photovoltaic pumping systems.</w:t>
                            </w:r>
                          </w:p>
                          <w:p w14:paraId="0AA8E823" w14:textId="77777777" w:rsidR="00BB3453" w:rsidRPr="0054348A" w:rsidRDefault="00BB3453" w:rsidP="0054348A">
                            <w:pPr>
                              <w:rPr>
                                <w:rFonts w:cs="Segoe UI"/>
                                <w:b/>
                                <w:color w:val="366092"/>
                                <w:sz w:val="18"/>
                                <w:u w:val="single"/>
                              </w:rPr>
                            </w:pPr>
                            <w:r w:rsidRPr="0054348A">
                              <w:rPr>
                                <w:rFonts w:cs="Segoe UI"/>
                                <w:b/>
                                <w:color w:val="366092"/>
                                <w:sz w:val="18"/>
                                <w:u w:val="single"/>
                              </w:rPr>
                              <w:t>Plan International</w:t>
                            </w:r>
                          </w:p>
                          <w:p w14:paraId="0CDE4895" w14:textId="77777777" w:rsidR="00BB3453" w:rsidRPr="0054348A" w:rsidRDefault="00BB3453" w:rsidP="0054348A">
                            <w:pPr>
                              <w:jc w:val="both"/>
                              <w:rPr>
                                <w:rFonts w:cs="Segoe UI"/>
                                <w:color w:val="366092"/>
                                <w:sz w:val="18"/>
                              </w:rPr>
                            </w:pPr>
                            <w:r w:rsidRPr="0054348A">
                              <w:rPr>
                                <w:rFonts w:cs="Segoe UI"/>
                                <w:color w:val="366092"/>
                                <w:sz w:val="18"/>
                              </w:rPr>
                              <w:t>The Niger office of the international NGO Plan International issued a tender for the supply of a 27 5kW solar PV plant in the town of Gorou located in Tillaberi Region. The project will be funded by a grant made available by the Renewable Energy Centre and the ECOWAS Energy Efficiency program.</w:t>
                            </w:r>
                          </w:p>
                          <w:p w14:paraId="469322A4" w14:textId="77777777" w:rsidR="00BB3453" w:rsidRPr="0054348A" w:rsidRDefault="00BB3453" w:rsidP="0054348A">
                            <w:pPr>
                              <w:jc w:val="both"/>
                              <w:rPr>
                                <w:rFonts w:cs="Segoe UI"/>
                                <w:b/>
                                <w:color w:val="366092"/>
                                <w:sz w:val="18"/>
                                <w:u w:val="single"/>
                              </w:rPr>
                            </w:pPr>
                            <w:r w:rsidRPr="0054348A">
                              <w:rPr>
                                <w:rFonts w:cs="Segoe UI"/>
                                <w:b/>
                                <w:color w:val="366092"/>
                                <w:sz w:val="18"/>
                                <w:u w:val="single"/>
                              </w:rPr>
                              <w:t>SNV</w:t>
                            </w:r>
                          </w:p>
                          <w:p w14:paraId="15A4D55B" w14:textId="47E38786" w:rsidR="00BB3453" w:rsidRPr="0054348A" w:rsidRDefault="00BB3453" w:rsidP="0054348A">
                            <w:pPr>
                              <w:jc w:val="both"/>
                              <w:rPr>
                                <w:rFonts w:cs="Segoe UI"/>
                                <w:color w:val="366092"/>
                                <w:sz w:val="18"/>
                              </w:rPr>
                            </w:pPr>
                            <w:r w:rsidRPr="0054348A">
                              <w:rPr>
                                <w:rFonts w:cs="Segoe UI"/>
                                <w:color w:val="366092"/>
                                <w:sz w:val="18"/>
                              </w:rPr>
                              <w:t xml:space="preserve">SNV had initiated a project to bring more than 1.2 million solar powered pico lighting systems into the Niger market. The project was the first to specifically target pico solar devices, and was set to run from 2014 through 2019, partnering with </w:t>
                            </w:r>
                            <w:r>
                              <w:rPr>
                                <w:rFonts w:cs="Segoe UI"/>
                                <w:color w:val="366092"/>
                                <w:sz w:val="18"/>
                              </w:rPr>
                              <w:t>a private company</w:t>
                            </w:r>
                            <w:r w:rsidRPr="0054348A">
                              <w:rPr>
                                <w:rFonts w:cs="Segoe UI"/>
                                <w:color w:val="366092"/>
                                <w:sz w:val="18"/>
                              </w:rPr>
                              <w:t xml:space="preserve"> to provide devices. Following recent changes to SNV country leadership, however, the future of the project has become somewhat uncertain according to SNV consultations.</w:t>
                            </w:r>
                          </w:p>
                          <w:p w14:paraId="6F99CD7C" w14:textId="77777777" w:rsidR="00BB3453" w:rsidRPr="0054348A" w:rsidRDefault="00BB3453" w:rsidP="0054348A">
                            <w:pPr>
                              <w:jc w:val="both"/>
                              <w:rPr>
                                <w:rFonts w:cs="Segoe UI"/>
                                <w:b/>
                                <w:color w:val="366092"/>
                                <w:sz w:val="18"/>
                                <w:u w:val="single"/>
                              </w:rPr>
                            </w:pPr>
                            <w:r w:rsidRPr="0054348A">
                              <w:rPr>
                                <w:rFonts w:cs="Segoe UI"/>
                                <w:b/>
                                <w:color w:val="366092"/>
                                <w:sz w:val="18"/>
                                <w:u w:val="single"/>
                              </w:rPr>
                              <w:t xml:space="preserve">AFD </w:t>
                            </w:r>
                          </w:p>
                          <w:p w14:paraId="7A6D0E8C" w14:textId="77777777" w:rsidR="00BB3453" w:rsidRPr="0054348A" w:rsidRDefault="00BB3453" w:rsidP="0054348A">
                            <w:pPr>
                              <w:jc w:val="both"/>
                              <w:rPr>
                                <w:rFonts w:cs="Segoe UI"/>
                                <w:color w:val="366092"/>
                                <w:sz w:val="18"/>
                              </w:rPr>
                            </w:pPr>
                            <w:r w:rsidRPr="0054348A">
                              <w:rPr>
                                <w:rFonts w:cs="Segoe UI"/>
                                <w:color w:val="366092"/>
                                <w:sz w:val="18"/>
                              </w:rPr>
                              <w:t>AFD is carrying out multiple projects in the energy sector in Niger, mostly focused on grid extension. In addition, however, AFD is running various projects in water sanitation and water supply rural populations, including several infrastructure projects using solar pumps to provide drinking water to remote communities. AFD is also a minority shareholder (0.45%) in the state electricity company, NIGELEC.</w:t>
                            </w:r>
                          </w:p>
                          <w:p w14:paraId="090E8726" w14:textId="77777777" w:rsidR="00BB3453" w:rsidRDefault="00BB3453" w:rsidP="0054348A">
                            <w:pPr>
                              <w:spacing w:after="0"/>
                              <w:rPr>
                                <w:rFonts w:cs="Segoe UI"/>
                                <w:i/>
                                <w:color w:val="366092"/>
                                <w:sz w:val="18"/>
                                <w:szCs w:val="18"/>
                              </w:rPr>
                            </w:pPr>
                            <w:r w:rsidRPr="00D04187">
                              <w:rPr>
                                <w:rFonts w:cs="Segoe UI"/>
                                <w:i/>
                                <w:color w:val="366092"/>
                                <w:sz w:val="18"/>
                                <w:szCs w:val="18"/>
                              </w:rPr>
                              <w:t>Source: PA</w:t>
                            </w:r>
                            <w:r>
                              <w:rPr>
                                <w:rFonts w:cs="Segoe UI"/>
                                <w:i/>
                                <w:color w:val="366092"/>
                                <w:sz w:val="18"/>
                                <w:szCs w:val="18"/>
                              </w:rPr>
                              <w:t>SE-SAFO, ANPER, SNV, ESI Africa</w:t>
                            </w:r>
                          </w:p>
                          <w:p w14:paraId="44D3FE7B" w14:textId="6551AAB3" w:rsidR="00BB3453" w:rsidRPr="00D04187" w:rsidRDefault="00BB3453" w:rsidP="0054348A">
                            <w:pPr>
                              <w:spacing w:after="0"/>
                              <w:rPr>
                                <w:rFonts w:cs="Segoe UI"/>
                                <w:i/>
                                <w:color w:val="366092"/>
                                <w:sz w:val="18"/>
                                <w:szCs w:val="18"/>
                              </w:rPr>
                            </w:pPr>
                            <w:r w:rsidRPr="00D04187">
                              <w:rPr>
                                <w:rFonts w:cs="Segoe UI"/>
                                <w:i/>
                                <w:color w:val="366092"/>
                                <w:sz w:val="18"/>
                                <w:szCs w:val="18"/>
                              </w:rPr>
                              <w:t xml:space="preserve">(see </w:t>
                            </w:r>
                            <w:r w:rsidRPr="00D04187">
                              <w:rPr>
                                <w:rFonts w:cs="Segoe UI"/>
                                <w:color w:val="366092"/>
                                <w:sz w:val="18"/>
                                <w:szCs w:val="18"/>
                              </w:rPr>
                              <w:t>https://www.esi-africa.com/tenders/plan-international-niger-seek-solar-pv-services/</w:t>
                            </w:r>
                            <w:r w:rsidRPr="00D04187">
                              <w:rPr>
                                <w:rFonts w:cs="Segoe UI"/>
                                <w:i/>
                                <w:color w:val="366092"/>
                                <w:sz w:val="18"/>
                                <w:szCs w:val="18"/>
                              </w:rPr>
                              <w:t xml:space="preserve"> for PLAN tender)</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EC884" id="_x0000_s1043" style="position:absolute;left:0;text-align:left;margin-left:0;margin-top:19.8pt;width:466.5pt;height:626.25pt;z-index:2517432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" o:allowoverlap="f" fillcolor="#e6f2f3" strokecolor="#7f7f7f" strokeweight="1.25pt">
                <v:stroke opacity="59624f"/>
                <v:textbox inset="14.4pt,7.2pt,14.4pt,7.2pt">
                  <w:txbxContent>
                    <w:p w14:paraId="14D60A6E" w14:textId="77777777" w:rsidR="00BB3453" w:rsidRPr="0054348A" w:rsidRDefault="00BB3453" w:rsidP="0054348A">
                      <w:pPr>
                        <w:spacing w:before="360" w:after="360" w:line="240" w:lineRule="auto"/>
                        <w:rPr>
                          <w:rFonts w:eastAsia="Times New Roman" w:cs="Segoe UI"/>
                          <w:color w:val="ADD2D7"/>
                          <w:sz w:val="32"/>
                          <w:szCs w:val="32"/>
                        </w:rPr>
                      </w:pPr>
                      <w:r w:rsidRPr="0054348A">
                        <w:rPr>
                          <w:rFonts w:eastAsia="Times New Roman" w:cs="Segoe UI"/>
                          <w:color w:val="ADD2D7"/>
                          <w:sz w:val="32"/>
                          <w:szCs w:val="32"/>
                        </w:rPr>
                        <w:t>Current and recent solar initiatives in Niger</w:t>
                      </w:r>
                    </w:p>
                    <w:p w14:paraId="725ADFD2" w14:textId="77777777" w:rsidR="00BB3453" w:rsidRPr="0054348A" w:rsidRDefault="00BB3453" w:rsidP="0054348A">
                      <w:pPr>
                        <w:rPr>
                          <w:rFonts w:cs="Segoe UI"/>
                          <w:b/>
                          <w:color w:val="366092"/>
                          <w:sz w:val="18"/>
                          <w:u w:val="single"/>
                        </w:rPr>
                      </w:pPr>
                      <w:r w:rsidRPr="0054348A">
                        <w:rPr>
                          <w:rFonts w:cs="Segoe UI"/>
                          <w:b/>
                          <w:color w:val="366092"/>
                          <w:sz w:val="18"/>
                          <w:u w:val="single"/>
                        </w:rPr>
                        <w:t>PASE-SAFO (</w:t>
                      </w:r>
                      <w:proofErr w:type="spellStart"/>
                      <w:r w:rsidRPr="0054348A">
                        <w:rPr>
                          <w:rFonts w:cs="Segoe UI"/>
                          <w:b/>
                          <w:color w:val="366092"/>
                          <w:sz w:val="18"/>
                          <w:u w:val="single"/>
                        </w:rPr>
                        <w:t>Safo-Maradi</w:t>
                      </w:r>
                      <w:proofErr w:type="spellEnd"/>
                      <w:r w:rsidRPr="0054348A">
                        <w:rPr>
                          <w:rFonts w:cs="Segoe UI"/>
                          <w:b/>
                          <w:color w:val="366092"/>
                          <w:sz w:val="18"/>
                          <w:u w:val="single"/>
                        </w:rPr>
                        <w:t>)</w:t>
                      </w:r>
                    </w:p>
                    <w:p w14:paraId="23496E88" w14:textId="40B8CFFC" w:rsidR="00BB3453" w:rsidRPr="0054348A" w:rsidRDefault="00BB3453" w:rsidP="0054348A">
                      <w:pPr>
                        <w:jc w:val="both"/>
                        <w:rPr>
                          <w:rFonts w:cs="Segoe UI"/>
                          <w:color w:val="366092"/>
                          <w:sz w:val="18"/>
                        </w:rPr>
                      </w:pPr>
                      <w:r w:rsidRPr="0054348A">
                        <w:rPr>
                          <w:rFonts w:cs="Segoe UI"/>
                          <w:color w:val="366092"/>
                          <w:sz w:val="18"/>
                        </w:rPr>
                        <w:t xml:space="preserve">Program to increase access to energy services for the rural community of </w:t>
                      </w:r>
                      <w:proofErr w:type="spellStart"/>
                      <w:r w:rsidRPr="0054348A">
                        <w:rPr>
                          <w:rFonts w:cs="Segoe UI"/>
                          <w:color w:val="366092"/>
                          <w:sz w:val="18"/>
                        </w:rPr>
                        <w:t>Safo</w:t>
                      </w:r>
                      <w:proofErr w:type="spellEnd"/>
                      <w:r w:rsidRPr="0054348A">
                        <w:rPr>
                          <w:rFonts w:cs="Segoe UI"/>
                          <w:color w:val="366092"/>
                          <w:sz w:val="18"/>
                        </w:rPr>
                        <w:t xml:space="preserve"> (PASE – </w:t>
                      </w:r>
                      <w:proofErr w:type="spellStart"/>
                      <w:r w:rsidRPr="0054348A">
                        <w:rPr>
                          <w:rFonts w:cs="Segoe UI"/>
                          <w:color w:val="366092"/>
                          <w:sz w:val="18"/>
                        </w:rPr>
                        <w:t>Safo</w:t>
                      </w:r>
                      <w:proofErr w:type="spellEnd"/>
                      <w:r w:rsidRPr="0054348A">
                        <w:rPr>
                          <w:rFonts w:cs="Segoe UI"/>
                          <w:color w:val="366092"/>
                          <w:sz w:val="18"/>
                        </w:rPr>
                        <w:t xml:space="preserve">). The program aims to contribute to economic and social growth, as well as poverty eradication by providing infrastructure to improve access to modern energy services. PASE-SAFO is the first phase of the Program of National Reference for Access to Modern Energy Services of Niger (PRASE) and is funded by the European Union (EU), United Nations Development Program (UNDP) and the Global Environment Facility (GEF). </w:t>
                      </w:r>
                    </w:p>
                    <w:p w14:paraId="532218F8" w14:textId="77777777" w:rsidR="00BB3453" w:rsidRPr="0054348A" w:rsidRDefault="00BB3453" w:rsidP="0054348A">
                      <w:pPr>
                        <w:jc w:val="both"/>
                        <w:rPr>
                          <w:rFonts w:cs="Segoe UI"/>
                          <w:color w:val="366092"/>
                          <w:sz w:val="18"/>
                        </w:rPr>
                      </w:pPr>
                      <w:r w:rsidRPr="0054348A">
                        <w:rPr>
                          <w:rFonts w:cs="Segoe UI"/>
                          <w:color w:val="366092"/>
                          <w:sz w:val="18"/>
                        </w:rPr>
                        <w:t xml:space="preserve">In October 2013, five pilots for agricultural development were established to equip </w:t>
                      </w:r>
                      <w:proofErr w:type="spellStart"/>
                      <w:r w:rsidRPr="0054348A">
                        <w:rPr>
                          <w:rFonts w:cs="Segoe UI"/>
                          <w:color w:val="366092"/>
                          <w:sz w:val="18"/>
                        </w:rPr>
                        <w:t>Safo</w:t>
                      </w:r>
                      <w:proofErr w:type="spellEnd"/>
                      <w:r w:rsidRPr="0054348A">
                        <w:rPr>
                          <w:rFonts w:cs="Segoe UI"/>
                          <w:color w:val="366092"/>
                          <w:sz w:val="18"/>
                        </w:rPr>
                        <w:t xml:space="preserve"> with solar irrigation systems. Currently, pumping tests are underway to equip 10 additional villages with seven boreholes, as well as plans to drill an additional two large-scale boreholes to pump and supply farm units under a modern solar irrigation system. </w:t>
                      </w:r>
                    </w:p>
                    <w:p w14:paraId="5E24B975" w14:textId="77777777" w:rsidR="00BB3453" w:rsidRPr="0054348A" w:rsidRDefault="00BB3453" w:rsidP="0054348A">
                      <w:pPr>
                        <w:rPr>
                          <w:rFonts w:cs="Segoe UI"/>
                          <w:b/>
                          <w:color w:val="366092"/>
                          <w:sz w:val="18"/>
                          <w:u w:val="single"/>
                        </w:rPr>
                      </w:pPr>
                      <w:r w:rsidRPr="0054348A">
                        <w:rPr>
                          <w:rFonts w:cs="Segoe UI"/>
                          <w:b/>
                          <w:color w:val="366092"/>
                          <w:sz w:val="18"/>
                          <w:u w:val="single"/>
                        </w:rPr>
                        <w:t>ANPER</w:t>
                      </w:r>
                    </w:p>
                    <w:p w14:paraId="41EBB5C4" w14:textId="77777777" w:rsidR="00BB3453" w:rsidRPr="0054348A" w:rsidRDefault="00BB3453" w:rsidP="0054348A">
                      <w:pPr>
                        <w:jc w:val="both"/>
                        <w:rPr>
                          <w:rFonts w:cs="Segoe UI"/>
                          <w:color w:val="366092"/>
                          <w:sz w:val="18"/>
                        </w:rPr>
                      </w:pPr>
                      <w:r w:rsidRPr="0054348A">
                        <w:rPr>
                          <w:rFonts w:cs="Segoe UI"/>
                          <w:color w:val="366092"/>
                          <w:sz w:val="18"/>
                        </w:rPr>
                        <w:t>The Nigerien Agency for the Promotion of Electrification in Rural Areas (ANPER) is undertaking projects to increase access to electricity in 200 rural villages across Niger through solar photovoltaic systems. The specific goals of the project include installing 200 mini solar power stations in the 200 villages and equipping 45 MAEP and five farm sites with solar photovoltaic pumping systems.</w:t>
                      </w:r>
                    </w:p>
                    <w:p w14:paraId="0AA8E823" w14:textId="77777777" w:rsidR="00BB3453" w:rsidRPr="0054348A" w:rsidRDefault="00BB3453" w:rsidP="0054348A">
                      <w:pPr>
                        <w:rPr>
                          <w:rFonts w:cs="Segoe UI"/>
                          <w:b/>
                          <w:color w:val="366092"/>
                          <w:sz w:val="18"/>
                          <w:u w:val="single"/>
                        </w:rPr>
                      </w:pPr>
                      <w:r w:rsidRPr="0054348A">
                        <w:rPr>
                          <w:rFonts w:cs="Segoe UI"/>
                          <w:b/>
                          <w:color w:val="366092"/>
                          <w:sz w:val="18"/>
                          <w:u w:val="single"/>
                        </w:rPr>
                        <w:t>Plan International</w:t>
                      </w:r>
                    </w:p>
                    <w:p w14:paraId="0CDE4895" w14:textId="77777777" w:rsidR="00BB3453" w:rsidRPr="0054348A" w:rsidRDefault="00BB3453" w:rsidP="0054348A">
                      <w:pPr>
                        <w:jc w:val="both"/>
                        <w:rPr>
                          <w:rFonts w:cs="Segoe UI"/>
                          <w:color w:val="366092"/>
                          <w:sz w:val="18"/>
                        </w:rPr>
                      </w:pPr>
                      <w:r w:rsidRPr="0054348A">
                        <w:rPr>
                          <w:rFonts w:cs="Segoe UI"/>
                          <w:color w:val="366092"/>
                          <w:sz w:val="18"/>
                        </w:rPr>
                        <w:t xml:space="preserve">The Niger office of the international NGO Plan International issued a tender for the supply of a 27 5kW solar PV plant in the town of </w:t>
                      </w:r>
                      <w:proofErr w:type="spellStart"/>
                      <w:r w:rsidRPr="0054348A">
                        <w:rPr>
                          <w:rFonts w:cs="Segoe UI"/>
                          <w:color w:val="366092"/>
                          <w:sz w:val="18"/>
                        </w:rPr>
                        <w:t>Gorou</w:t>
                      </w:r>
                      <w:proofErr w:type="spellEnd"/>
                      <w:r w:rsidRPr="0054348A">
                        <w:rPr>
                          <w:rFonts w:cs="Segoe UI"/>
                          <w:color w:val="366092"/>
                          <w:sz w:val="18"/>
                        </w:rPr>
                        <w:t xml:space="preserve"> located in </w:t>
                      </w:r>
                      <w:proofErr w:type="spellStart"/>
                      <w:r w:rsidRPr="0054348A">
                        <w:rPr>
                          <w:rFonts w:cs="Segoe UI"/>
                          <w:color w:val="366092"/>
                          <w:sz w:val="18"/>
                        </w:rPr>
                        <w:t>Tillaberi</w:t>
                      </w:r>
                      <w:proofErr w:type="spellEnd"/>
                      <w:r w:rsidRPr="0054348A">
                        <w:rPr>
                          <w:rFonts w:cs="Segoe UI"/>
                          <w:color w:val="366092"/>
                          <w:sz w:val="18"/>
                        </w:rPr>
                        <w:t xml:space="preserve"> Region. The project will be funded by a grant made available by the Renewable Energy Centre and the ECOWAS Energy Efficiency program.</w:t>
                      </w:r>
                    </w:p>
                    <w:p w14:paraId="469322A4" w14:textId="77777777" w:rsidR="00BB3453" w:rsidRPr="0054348A" w:rsidRDefault="00BB3453" w:rsidP="0054348A">
                      <w:pPr>
                        <w:jc w:val="both"/>
                        <w:rPr>
                          <w:rFonts w:cs="Segoe UI"/>
                          <w:b/>
                          <w:color w:val="366092"/>
                          <w:sz w:val="18"/>
                          <w:u w:val="single"/>
                        </w:rPr>
                      </w:pPr>
                      <w:r w:rsidRPr="0054348A">
                        <w:rPr>
                          <w:rFonts w:cs="Segoe UI"/>
                          <w:b/>
                          <w:color w:val="366092"/>
                          <w:sz w:val="18"/>
                          <w:u w:val="single"/>
                        </w:rPr>
                        <w:t>SNV</w:t>
                      </w:r>
                    </w:p>
                    <w:p w14:paraId="15A4D55B" w14:textId="47E38786" w:rsidR="00BB3453" w:rsidRPr="0054348A" w:rsidRDefault="00BB3453" w:rsidP="0054348A">
                      <w:pPr>
                        <w:jc w:val="both"/>
                        <w:rPr>
                          <w:rFonts w:cs="Segoe UI"/>
                          <w:color w:val="366092"/>
                          <w:sz w:val="18"/>
                        </w:rPr>
                      </w:pPr>
                      <w:r w:rsidRPr="0054348A">
                        <w:rPr>
                          <w:rFonts w:cs="Segoe UI"/>
                          <w:color w:val="366092"/>
                          <w:sz w:val="18"/>
                        </w:rPr>
                        <w:t xml:space="preserve">SNV had initiated a project to bring more than 1.2 million solar powered </w:t>
                      </w:r>
                      <w:proofErr w:type="spellStart"/>
                      <w:r w:rsidRPr="0054348A">
                        <w:rPr>
                          <w:rFonts w:cs="Segoe UI"/>
                          <w:color w:val="366092"/>
                          <w:sz w:val="18"/>
                        </w:rPr>
                        <w:t>pico</w:t>
                      </w:r>
                      <w:proofErr w:type="spellEnd"/>
                      <w:r w:rsidRPr="0054348A">
                        <w:rPr>
                          <w:rFonts w:cs="Segoe UI"/>
                          <w:color w:val="366092"/>
                          <w:sz w:val="18"/>
                        </w:rPr>
                        <w:t xml:space="preserve"> lighting systems into the Niger market. The project was the first to specifically target </w:t>
                      </w:r>
                      <w:proofErr w:type="spellStart"/>
                      <w:r w:rsidRPr="0054348A">
                        <w:rPr>
                          <w:rFonts w:cs="Segoe UI"/>
                          <w:color w:val="366092"/>
                          <w:sz w:val="18"/>
                        </w:rPr>
                        <w:t>pico</w:t>
                      </w:r>
                      <w:proofErr w:type="spellEnd"/>
                      <w:r w:rsidRPr="0054348A">
                        <w:rPr>
                          <w:rFonts w:cs="Segoe UI"/>
                          <w:color w:val="366092"/>
                          <w:sz w:val="18"/>
                        </w:rPr>
                        <w:t xml:space="preserve"> solar devices, and was set to run from 2014 through 2019, partnering with </w:t>
                      </w:r>
                      <w:r>
                        <w:rPr>
                          <w:rFonts w:cs="Segoe UI"/>
                          <w:color w:val="366092"/>
                          <w:sz w:val="18"/>
                        </w:rPr>
                        <w:t>a private company</w:t>
                      </w:r>
                      <w:r w:rsidRPr="0054348A">
                        <w:rPr>
                          <w:rFonts w:cs="Segoe UI"/>
                          <w:color w:val="366092"/>
                          <w:sz w:val="18"/>
                        </w:rPr>
                        <w:t xml:space="preserve"> to provide devices. Following recent changes to SNV country leadership, however, the future of the project has become somewhat uncertain according to SNV consultations.</w:t>
                      </w:r>
                    </w:p>
                    <w:p w14:paraId="6F99CD7C" w14:textId="77777777" w:rsidR="00BB3453" w:rsidRPr="0054348A" w:rsidRDefault="00BB3453" w:rsidP="0054348A">
                      <w:pPr>
                        <w:jc w:val="both"/>
                        <w:rPr>
                          <w:rFonts w:cs="Segoe UI"/>
                          <w:b/>
                          <w:color w:val="366092"/>
                          <w:sz w:val="18"/>
                          <w:u w:val="single"/>
                        </w:rPr>
                      </w:pPr>
                      <w:r w:rsidRPr="0054348A">
                        <w:rPr>
                          <w:rFonts w:cs="Segoe UI"/>
                          <w:b/>
                          <w:color w:val="366092"/>
                          <w:sz w:val="18"/>
                          <w:u w:val="single"/>
                        </w:rPr>
                        <w:t xml:space="preserve">AFD </w:t>
                      </w:r>
                    </w:p>
                    <w:p w14:paraId="7A6D0E8C" w14:textId="77777777" w:rsidR="00BB3453" w:rsidRPr="0054348A" w:rsidRDefault="00BB3453" w:rsidP="0054348A">
                      <w:pPr>
                        <w:jc w:val="both"/>
                        <w:rPr>
                          <w:rFonts w:cs="Segoe UI"/>
                          <w:color w:val="366092"/>
                          <w:sz w:val="18"/>
                        </w:rPr>
                      </w:pPr>
                      <w:r w:rsidRPr="0054348A">
                        <w:rPr>
                          <w:rFonts w:cs="Segoe UI"/>
                          <w:color w:val="366092"/>
                          <w:sz w:val="18"/>
                        </w:rPr>
                        <w:t>AFD is carrying out multiple projects in the energy sector in Niger, mostly focused on grid extension. In addition, however, AFD is running various projects in water sanitation and water supply rural populations, including several infrastructure projects using solar pumps to provide drinking water to remote communities. AFD is also a minority shareholder (0.45%) in the state electricity company, NIGELEC.</w:t>
                      </w:r>
                    </w:p>
                    <w:p w14:paraId="090E8726" w14:textId="77777777" w:rsidR="00BB3453" w:rsidRDefault="00BB3453" w:rsidP="0054348A">
                      <w:pPr>
                        <w:spacing w:after="0"/>
                        <w:rPr>
                          <w:rFonts w:cs="Segoe UI"/>
                          <w:i/>
                          <w:color w:val="366092"/>
                          <w:sz w:val="18"/>
                          <w:szCs w:val="18"/>
                        </w:rPr>
                      </w:pPr>
                      <w:r w:rsidRPr="00D04187">
                        <w:rPr>
                          <w:rFonts w:cs="Segoe UI"/>
                          <w:i/>
                          <w:color w:val="366092"/>
                          <w:sz w:val="18"/>
                          <w:szCs w:val="18"/>
                        </w:rPr>
                        <w:t>Source: PA</w:t>
                      </w:r>
                      <w:r>
                        <w:rPr>
                          <w:rFonts w:cs="Segoe UI"/>
                          <w:i/>
                          <w:color w:val="366092"/>
                          <w:sz w:val="18"/>
                          <w:szCs w:val="18"/>
                        </w:rPr>
                        <w:t>SE-SAFO, ANPER, SNV, ESI Africa</w:t>
                      </w:r>
                    </w:p>
                    <w:p w14:paraId="44D3FE7B" w14:textId="6551AAB3" w:rsidR="00BB3453" w:rsidRPr="00D04187" w:rsidRDefault="00BB3453" w:rsidP="0054348A">
                      <w:pPr>
                        <w:spacing w:after="0"/>
                        <w:rPr>
                          <w:rFonts w:cs="Segoe UI"/>
                          <w:i/>
                          <w:color w:val="366092"/>
                          <w:sz w:val="18"/>
                          <w:szCs w:val="18"/>
                        </w:rPr>
                      </w:pPr>
                      <w:r w:rsidRPr="00D04187">
                        <w:rPr>
                          <w:rFonts w:cs="Segoe UI"/>
                          <w:i/>
                          <w:color w:val="366092"/>
                          <w:sz w:val="18"/>
                          <w:szCs w:val="18"/>
                        </w:rPr>
                        <w:t xml:space="preserve">(see </w:t>
                      </w:r>
                      <w:r w:rsidRPr="00D04187">
                        <w:rPr>
                          <w:rFonts w:cs="Segoe UI"/>
                          <w:color w:val="366092"/>
                          <w:sz w:val="18"/>
                          <w:szCs w:val="18"/>
                        </w:rPr>
                        <w:t>https://www.esi-africa.com/tenders/plan-international-niger-seek-solar-pv-services/</w:t>
                      </w:r>
                      <w:r w:rsidRPr="00D04187">
                        <w:rPr>
                          <w:rFonts w:cs="Segoe UI"/>
                          <w:i/>
                          <w:color w:val="366092"/>
                          <w:sz w:val="18"/>
                          <w:szCs w:val="18"/>
                        </w:rPr>
                        <w:t xml:space="preserve"> for PLAN tender)</w:t>
                      </w:r>
                    </w:p>
                  </w:txbxContent>
                </v:textbox>
                <w10:wrap type="square" anchorx="margin"/>
              </v:rect>
            </w:pict>
          </mc:Fallback>
        </mc:AlternateContent>
      </w:r>
      <w:r w:rsidR="0054348A">
        <w:rPr>
          <w:noProof/>
        </w:rPr>
        <mc:AlternateContent>
          <mc:Choice Requires="wps">
            <w:drawing>
              <wp:anchor distT="0" distB="0" distL="114300" distR="114300" simplePos="0" relativeHeight="251745280" behindDoc="0" locked="0" layoutInCell="1" allowOverlap="1" wp14:anchorId="5F0E78FB" wp14:editId="3301590B">
                <wp:simplePos x="0" y="0"/>
                <wp:positionH relativeFrom="margin">
                  <wp:align>left</wp:align>
                </wp:positionH>
                <wp:positionV relativeFrom="paragraph">
                  <wp:posOffset>0</wp:posOffset>
                </wp:positionV>
                <wp:extent cx="5924550" cy="21907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5924550" cy="219075"/>
                        </a:xfrm>
                        <a:prstGeom prst="rect">
                          <a:avLst/>
                        </a:prstGeom>
                        <a:solidFill>
                          <a:prstClr val="white"/>
                        </a:solidFill>
                        <a:ln>
                          <a:noFill/>
                        </a:ln>
                      </wps:spPr>
                      <wps:txbx>
                        <w:txbxContent>
                          <w:p w14:paraId="043EB582" w14:textId="1CB11919" w:rsidR="00BB3453" w:rsidRPr="0048172B" w:rsidRDefault="00BB3453" w:rsidP="0054348A">
                            <w:pPr>
                              <w:pStyle w:val="Caption"/>
                              <w:rPr>
                                <w:rFonts w:eastAsia="Arial" w:cs="Times New Roman"/>
                                <w:i/>
                                <w:noProof/>
                              </w:rPr>
                            </w:pPr>
                            <w:bookmarkStart w:id="149" w:name="_Ref477425275"/>
                            <w:bookmarkStart w:id="150" w:name="_Toc500969356"/>
                            <w:r>
                              <w:t xml:space="preserve">Figure </w:t>
                            </w:r>
                            <w:fldSimple w:instr=" SEQ Figure \* ARABIC ">
                              <w:r>
                                <w:rPr>
                                  <w:noProof/>
                                </w:rPr>
                                <w:t>19</w:t>
                              </w:r>
                            </w:fldSimple>
                            <w:bookmarkEnd w:id="149"/>
                            <w:r>
                              <w:t>: Overview of recent key solar initiatives in Niger</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E78FB" id="Text Box 32" o:spid="_x0000_s1044" type="#_x0000_t202" style="position:absolute;left:0;text-align:left;margin-left:0;margin-top:0;width:466.5pt;height:17.25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" stroked="f">
                <v:textbox inset="0,0,0,0">
                  <w:txbxContent>
                    <w:p w14:paraId="043EB582" w14:textId="1CB11919" w:rsidR="00BB3453" w:rsidRPr="0048172B" w:rsidRDefault="00BB3453" w:rsidP="0054348A">
                      <w:pPr>
                        <w:pStyle w:val="Caption"/>
                        <w:rPr>
                          <w:rFonts w:eastAsia="Arial" w:cs="Times New Roman"/>
                          <w:i/>
                          <w:noProof/>
                        </w:rPr>
                      </w:pPr>
                      <w:bookmarkStart w:id="166" w:name="_Ref477425275"/>
                      <w:bookmarkStart w:id="167" w:name="_Toc500969356"/>
                      <w:r>
                        <w:t xml:space="preserve">Figure </w:t>
                      </w:r>
                      <w:fldSimple w:instr=" SEQ Figure \* ARABIC ">
                        <w:r>
                          <w:rPr>
                            <w:noProof/>
                          </w:rPr>
                          <w:t>19</w:t>
                        </w:r>
                      </w:fldSimple>
                      <w:bookmarkEnd w:id="166"/>
                      <w:r>
                        <w:t>: Overview of recent key solar initiatives in Niger</w:t>
                      </w:r>
                      <w:bookmarkEnd w:id="167"/>
                    </w:p>
                  </w:txbxContent>
                </v:textbox>
                <w10:wrap type="square" anchorx="margin"/>
              </v:shape>
            </w:pict>
          </mc:Fallback>
        </mc:AlternateContent>
      </w:r>
    </w:p>
    <w:p w14:paraId="636A94B2" w14:textId="764D5A7C" w:rsidR="007C107F" w:rsidRPr="00A615EB" w:rsidRDefault="007C107F" w:rsidP="00955049">
      <w:pPr>
        <w:pStyle w:val="H4NEWreportStyle"/>
      </w:pPr>
      <w:r w:rsidRPr="00A615EB">
        <w:lastRenderedPageBreak/>
        <w:t>Informal market players</w:t>
      </w:r>
    </w:p>
    <w:p w14:paraId="0AD75D8A" w14:textId="470960E6" w:rsidR="007C107F" w:rsidRDefault="007C107F" w:rsidP="007C107F">
      <w:pPr>
        <w:jc w:val="both"/>
        <w:rPr>
          <w:rFonts w:cs="Segoe UI"/>
        </w:rPr>
      </w:pPr>
      <w:r>
        <w:rPr>
          <w:rFonts w:cs="Segoe UI"/>
        </w:rPr>
        <w:t xml:space="preserve">In the absence of formal businesses supplying the end-user solar market, distribution of solar devices – particularly home solar devices – in Niger has to date been dominated by informal </w:t>
      </w:r>
      <w:r w:rsidR="00885D13">
        <w:rPr>
          <w:rFonts w:cs="Segoe UI"/>
        </w:rPr>
        <w:t xml:space="preserve">market </w:t>
      </w:r>
      <w:r>
        <w:rPr>
          <w:rFonts w:cs="Segoe UI"/>
        </w:rPr>
        <w:t>sector players. These are predominantly</w:t>
      </w:r>
      <w:r w:rsidR="002E4072">
        <w:rPr>
          <w:rFonts w:cs="Segoe UI"/>
        </w:rPr>
        <w:t xml:space="preserve"> importers – informally active to avoid customs duties and taxation – who </w:t>
      </w:r>
      <w:r>
        <w:rPr>
          <w:rFonts w:cs="Segoe UI"/>
        </w:rPr>
        <w:t>operate across the N</w:t>
      </w:r>
      <w:r w:rsidR="002E4072">
        <w:rPr>
          <w:rFonts w:cs="Segoe UI"/>
        </w:rPr>
        <w:t xml:space="preserve">igeria and Burkina Faso borders. They </w:t>
      </w:r>
      <w:r>
        <w:rPr>
          <w:rFonts w:cs="Segoe UI"/>
        </w:rPr>
        <w:t xml:space="preserve">import what are commonly low-grade imitation products </w:t>
      </w:r>
      <w:r w:rsidR="002E4072">
        <w:rPr>
          <w:rFonts w:cs="Segoe UI"/>
        </w:rPr>
        <w:t xml:space="preserve">and then sell them on to small traders for retail distribution </w:t>
      </w:r>
      <w:r>
        <w:rPr>
          <w:rFonts w:cs="Segoe UI"/>
        </w:rPr>
        <w:t xml:space="preserve">in kiosks and informal shops in urban and peri-urban areas. </w:t>
      </w:r>
    </w:p>
    <w:p w14:paraId="4F8406D2" w14:textId="767EF8CA" w:rsidR="008401A5" w:rsidRDefault="007C107F" w:rsidP="00277B1A">
      <w:pPr>
        <w:jc w:val="both"/>
        <w:rPr>
          <w:rFonts w:cs="Segoe UI"/>
        </w:rPr>
      </w:pPr>
      <w:r>
        <w:rPr>
          <w:rFonts w:cs="Segoe UI"/>
        </w:rPr>
        <w:t>Due to the low quality and cost of these products, as well as traders’ ability to evade Niger’s high duties on solar products (see challenges section below), informal traders are able to dramatically undercut sellers of quality-</w:t>
      </w:r>
      <w:r w:rsidR="000D7868">
        <w:rPr>
          <w:rFonts w:cs="Segoe UI"/>
        </w:rPr>
        <w:t xml:space="preserve">verified </w:t>
      </w:r>
      <w:r>
        <w:rPr>
          <w:rFonts w:cs="Segoe UI"/>
        </w:rPr>
        <w:t>products with ostensibly similar specifications</w:t>
      </w:r>
      <w:r>
        <w:rPr>
          <w:rStyle w:val="FootnoteReference"/>
          <w:rFonts w:cs="Segoe UI"/>
        </w:rPr>
        <w:footnoteReference w:id="57"/>
      </w:r>
      <w:r>
        <w:rPr>
          <w:rFonts w:cs="Segoe UI"/>
        </w:rPr>
        <w:t xml:space="preserve">. At the same </w:t>
      </w:r>
      <w:r w:rsidRPr="008E6A80">
        <w:rPr>
          <w:rFonts w:cs="Segoe UI"/>
        </w:rPr>
        <w:t xml:space="preserve">time, though informal traders often have far-reaching local networks, they are unlikely to make </w:t>
      </w:r>
      <w:r>
        <w:rPr>
          <w:rFonts w:cs="Segoe UI"/>
        </w:rPr>
        <w:t xml:space="preserve">for attractive distribution partners for formal businesses due to their highly unpredictable inventory cycles, lack of formal personnel and corporate structures, limited brand loyalty, and small individual sales volumes. </w:t>
      </w:r>
      <w:bookmarkStart w:id="151" w:name="_Toc462297453"/>
      <w:bookmarkStart w:id="152" w:name="_Toc462297454"/>
      <w:bookmarkStart w:id="153" w:name="_Toc462297467"/>
      <w:bookmarkStart w:id="154" w:name="_Toc462297474"/>
      <w:bookmarkEnd w:id="151"/>
      <w:bookmarkEnd w:id="152"/>
      <w:bookmarkEnd w:id="153"/>
      <w:bookmarkEnd w:id="154"/>
    </w:p>
    <w:p w14:paraId="230FBF3E" w14:textId="0F59EC95" w:rsidR="00023E23" w:rsidRPr="00955049" w:rsidRDefault="00586942" w:rsidP="00955049">
      <w:pPr>
        <w:pStyle w:val="H2NEWreportStyle"/>
      </w:pPr>
      <w:bookmarkStart w:id="155" w:name="_Toc501097046"/>
      <w:r>
        <w:t>Niger’s financial sector</w:t>
      </w:r>
      <w:bookmarkEnd w:id="155"/>
      <w:r w:rsidR="00023E23" w:rsidRPr="00955049">
        <w:t xml:space="preserve"> </w:t>
      </w:r>
    </w:p>
    <w:p w14:paraId="44115476" w14:textId="05049E9C" w:rsidR="00586942" w:rsidRPr="00066098" w:rsidRDefault="00586942" w:rsidP="00586942">
      <w:pPr>
        <w:pStyle w:val="H4NEWreportStyle"/>
      </w:pPr>
      <w:r w:rsidRPr="00066098">
        <w:t>Brief overview of the financial sector</w:t>
      </w:r>
      <w:r w:rsidR="00BC70D6">
        <w:t xml:space="preserve"> </w:t>
      </w:r>
      <w:r w:rsidRPr="00BC70D6">
        <w:rPr>
          <w:rStyle w:val="FootnoteReference"/>
          <w:b w:val="0"/>
          <w:i w:val="0"/>
        </w:rPr>
        <w:footnoteReference w:id="58"/>
      </w:r>
    </w:p>
    <w:p w14:paraId="67E20609" w14:textId="1146B3FE" w:rsidR="00586942" w:rsidRPr="00FA0670" w:rsidRDefault="00586942" w:rsidP="00586942">
      <w:pPr>
        <w:jc w:val="both"/>
        <w:rPr>
          <w:rFonts w:cs="Segoe UI"/>
        </w:rPr>
      </w:pPr>
      <w:r w:rsidRPr="008E6A80">
        <w:rPr>
          <w:rFonts w:cs="Segoe UI"/>
        </w:rPr>
        <w:t>Niger’s financial sector is still nascent, but has been experiencing ongoing growth and development</w:t>
      </w:r>
      <w:r w:rsidRPr="008E6A80">
        <w:rPr>
          <w:rFonts w:eastAsia="Calibri" w:cs="Segoe UI"/>
        </w:rPr>
        <w:t xml:space="preserve">. It </w:t>
      </w:r>
      <w:r w:rsidRPr="008E6A80">
        <w:rPr>
          <w:rFonts w:cs="Segoe UI"/>
        </w:rPr>
        <w:t>remains bank-centered, with the financial landscape mainly consisting of commercial banks, microfinance institutions (MFIs), social security organizations</w:t>
      </w:r>
      <w:r w:rsidR="000D7868">
        <w:rPr>
          <w:rFonts w:cs="Segoe UI"/>
        </w:rPr>
        <w:t>,</w:t>
      </w:r>
      <w:r w:rsidRPr="008E6A80">
        <w:rPr>
          <w:rFonts w:cs="Segoe UI"/>
        </w:rPr>
        <w:t xml:space="preserve"> and exchange </w:t>
      </w:r>
      <w:r w:rsidRPr="00FA0670">
        <w:rPr>
          <w:rFonts w:cs="Segoe UI"/>
        </w:rPr>
        <w:t xml:space="preserve">bureaus. As of 2015, Niger had 11 commercial banks and 42 microfinance institutions. </w:t>
      </w:r>
    </w:p>
    <w:p w14:paraId="62B4E6C5" w14:textId="1A541E62" w:rsidR="00586942" w:rsidRPr="008E6A80" w:rsidRDefault="00586942" w:rsidP="00586942">
      <w:pPr>
        <w:jc w:val="both"/>
        <w:rPr>
          <w:rFonts w:cs="Segoe UI"/>
        </w:rPr>
      </w:pPr>
      <w:r w:rsidRPr="00FA0670">
        <w:rPr>
          <w:rFonts w:cs="Segoe UI"/>
        </w:rPr>
        <w:t>In comparison to the commercial banking sector, microfinance institutions have a considerably larger footprint in Niger. In 2014, the number of people with a bank account was 438,170 compared to 722,533</w:t>
      </w:r>
      <w:r w:rsidR="00584558" w:rsidRPr="00FA0670">
        <w:rPr>
          <w:rFonts w:cs="Segoe UI"/>
        </w:rPr>
        <w:t xml:space="preserve"> with an MFI account</w:t>
      </w:r>
      <w:r w:rsidR="0081767D" w:rsidRPr="00FA0670">
        <w:rPr>
          <w:rFonts w:cs="Segoe UI"/>
        </w:rPr>
        <w:t>.</w:t>
      </w:r>
      <w:r w:rsidR="00EB2964" w:rsidRPr="00FA0670">
        <w:rPr>
          <w:rStyle w:val="FootnoteReference"/>
          <w:rFonts w:cs="Segoe UI"/>
        </w:rPr>
        <w:t xml:space="preserve"> </w:t>
      </w:r>
      <w:r w:rsidR="00EB2964" w:rsidRPr="00FA0670">
        <w:rPr>
          <w:rStyle w:val="FootnoteReference"/>
          <w:rFonts w:cs="Segoe UI"/>
        </w:rPr>
        <w:footnoteReference w:id="59"/>
      </w:r>
      <w:r w:rsidRPr="00FA0670">
        <w:rPr>
          <w:rFonts w:cs="Segoe UI"/>
        </w:rPr>
        <w:t xml:space="preserve"> Supervision of the microfinance sector is shared between Niger’s Microfinance Sector Regulation Agency (ARSM) </w:t>
      </w:r>
      <w:r w:rsidR="000D7868">
        <w:rPr>
          <w:rFonts w:cs="Segoe UI"/>
        </w:rPr>
        <w:t xml:space="preserve">the </w:t>
      </w:r>
      <w:r w:rsidRPr="00FA0670">
        <w:rPr>
          <w:rFonts w:cs="Segoe UI"/>
        </w:rPr>
        <w:t>Banque Centrale des Etats de l'Afrique de l'Ouest</w:t>
      </w:r>
      <w:r w:rsidR="000D7868">
        <w:rPr>
          <w:rFonts w:cs="Segoe UI"/>
        </w:rPr>
        <w:t xml:space="preserve"> (</w:t>
      </w:r>
      <w:r w:rsidR="000D7868" w:rsidRPr="00FA0670">
        <w:rPr>
          <w:rFonts w:cs="Segoe UI"/>
        </w:rPr>
        <w:t>BCEAO</w:t>
      </w:r>
      <w:r w:rsidR="000D7868">
        <w:rPr>
          <w:rFonts w:cs="Segoe UI"/>
        </w:rPr>
        <w:t>)</w:t>
      </w:r>
      <w:r w:rsidRPr="00FA0670">
        <w:rPr>
          <w:rFonts w:cs="Segoe UI"/>
        </w:rPr>
        <w:t>,</w:t>
      </w:r>
      <w:r w:rsidR="000D7868">
        <w:rPr>
          <w:rFonts w:cs="Segoe UI"/>
        </w:rPr>
        <w:t xml:space="preserve"> and</w:t>
      </w:r>
      <w:r w:rsidRPr="00FA0670">
        <w:rPr>
          <w:rFonts w:cs="Segoe UI"/>
        </w:rPr>
        <w:t xml:space="preserve"> the Central Bank for</w:t>
      </w:r>
      <w:r w:rsidRPr="008E6A80">
        <w:rPr>
          <w:rFonts w:cs="Segoe UI"/>
        </w:rPr>
        <w:t xml:space="preserve"> the West African Economic and Monetary Union (WAEMU).  Jurisdiction is allocated based on the size of the financial institution: large MFIs (with deposits or loans outstanding exceeding CFA 2 billion / US</w:t>
      </w:r>
      <w:r w:rsidR="000D7868">
        <w:rPr>
          <w:rFonts w:cs="Segoe UI"/>
        </w:rPr>
        <w:t xml:space="preserve"> </w:t>
      </w:r>
      <w:r w:rsidRPr="008E6A80">
        <w:rPr>
          <w:rFonts w:cs="Segoe UI"/>
        </w:rPr>
        <w:t xml:space="preserve">$3.25M) are supervised by the BCEAO, while smaller MFIs are supervised by ARSM. </w:t>
      </w:r>
    </w:p>
    <w:p w14:paraId="5105FB1E" w14:textId="3819CFC0" w:rsidR="00586942" w:rsidRPr="008E6A80" w:rsidRDefault="00586942" w:rsidP="00586942">
      <w:pPr>
        <w:jc w:val="both"/>
        <w:rPr>
          <w:rFonts w:eastAsia="Calibri" w:cs="Segoe UI"/>
        </w:rPr>
      </w:pPr>
      <w:r w:rsidRPr="008E6A80">
        <w:rPr>
          <w:rFonts w:cs="Segoe UI"/>
        </w:rPr>
        <w:t>The MFI landscape is dominated by one large player. Growth of smaller MFIs, which account for about 30</w:t>
      </w:r>
      <w:r w:rsidR="00C7178B">
        <w:rPr>
          <w:rFonts w:cs="Segoe UI"/>
        </w:rPr>
        <w:t>-40</w:t>
      </w:r>
      <w:r w:rsidRPr="008E6A80">
        <w:rPr>
          <w:rFonts w:cs="Segoe UI"/>
        </w:rPr>
        <w:t>% of total MFI loans and deposits, are constrained by low levels of liquidity. Loans from banks to MFIs are rare and relatively small when they do occur (typical bank to MFI loans are under US</w:t>
      </w:r>
      <w:r w:rsidR="000D7868">
        <w:rPr>
          <w:rFonts w:cs="Segoe UI"/>
        </w:rPr>
        <w:t xml:space="preserve"> </w:t>
      </w:r>
      <w:r w:rsidRPr="008E6A80">
        <w:rPr>
          <w:rFonts w:cs="Segoe UI"/>
        </w:rPr>
        <w:t>$1 million).</w:t>
      </w:r>
      <w:r w:rsidRPr="008E6A80">
        <w:rPr>
          <w:rStyle w:val="FootnoteReference"/>
          <w:rFonts w:cs="Segoe UI"/>
        </w:rPr>
        <w:footnoteReference w:id="60"/>
      </w:r>
      <w:r w:rsidRPr="008E6A80">
        <w:rPr>
          <w:rFonts w:cs="Segoe UI"/>
        </w:rPr>
        <w:t xml:space="preserve"> Nigerien authorities are currently focused on strengthening the regulatory environment for microfinance </w:t>
      </w:r>
      <w:r w:rsidRPr="008E6A80">
        <w:rPr>
          <w:rFonts w:cs="Segoe UI"/>
        </w:rPr>
        <w:lastRenderedPageBreak/>
        <w:t>by improving oversight of lending operations, however, t</w:t>
      </w:r>
      <w:r w:rsidRPr="008E6A80">
        <w:rPr>
          <w:rFonts w:eastAsia="Calibri" w:cs="Segoe UI"/>
        </w:rPr>
        <w:t>here is a need to further develop commercial loans from banks to MFIs to address the lack of liquidity and promote expansion of the sector.</w:t>
      </w:r>
    </w:p>
    <w:p w14:paraId="50AF6D85" w14:textId="320C3A1A" w:rsidR="00586942" w:rsidRPr="008E6A80" w:rsidRDefault="00586942" w:rsidP="00586942">
      <w:pPr>
        <w:jc w:val="both"/>
        <w:rPr>
          <w:rFonts w:cs="Segoe UI"/>
        </w:rPr>
      </w:pPr>
      <w:r w:rsidRPr="008E6A80">
        <w:rPr>
          <w:rFonts w:cs="Segoe UI"/>
        </w:rPr>
        <w:t xml:space="preserve">Despite the presence of several financial institutions, access to finance remains limited overall. In 2014, only 6.7% of the population had accounts with financial institutions (both MFIs and banks). This represented a considerable increase over 2011 when only </w:t>
      </w:r>
      <w:r w:rsidRPr="008E6A80">
        <w:rPr>
          <w:rFonts w:eastAsia="Calibri" w:cs="Segoe UI"/>
        </w:rPr>
        <w:t xml:space="preserve">1.5% of the population had an account, but was still significantly lower than </w:t>
      </w:r>
      <w:r w:rsidRPr="008E6A80">
        <w:rPr>
          <w:rFonts w:cs="Segoe UI"/>
        </w:rPr>
        <w:t>the 2014 Sub Saharan African average of 34%. These figures are mirrored in low levels of financial access. Due to high banking costs, cumbersome documentation requirements, and limited geographic reach of branch networks, only around 3% of the population has access to commercial banking services (not including MFIs).</w:t>
      </w:r>
      <w:r w:rsidRPr="008E6A80">
        <w:rPr>
          <w:rFonts w:eastAsia="Calibri" w:cs="Segoe UI"/>
        </w:rPr>
        <w:t xml:space="preserve"> </w:t>
      </w:r>
      <w:r w:rsidR="003766F0" w:rsidRPr="003766F0">
        <w:rPr>
          <w:rFonts w:cs="Segoe UI"/>
        </w:rPr>
        <w:t>Credit to the private sector at enterprise level as a percentage of GDP was also low at 13.</w:t>
      </w:r>
      <w:r w:rsidR="003766F0">
        <w:rPr>
          <w:rFonts w:cs="Segoe UI"/>
        </w:rPr>
        <w:t xml:space="preserve">4% as at June 2015, compared to, for example, </w:t>
      </w:r>
      <w:r w:rsidR="003766F0" w:rsidRPr="003766F0">
        <w:rPr>
          <w:rFonts w:cs="Segoe UI"/>
        </w:rPr>
        <w:t>Burkina Faso (another WAEMU country) at 26%.</w:t>
      </w:r>
      <w:r w:rsidR="006527AA">
        <w:rPr>
          <w:rStyle w:val="FootnoteReference"/>
          <w:rFonts w:cs="Segoe UI"/>
        </w:rPr>
        <w:footnoteReference w:id="61"/>
      </w:r>
      <w:r w:rsidR="003766F0" w:rsidRPr="003766F0">
        <w:rPr>
          <w:rFonts w:cs="Segoe UI"/>
        </w:rPr>
        <w:t xml:space="preserve"> </w:t>
      </w:r>
      <w:r w:rsidRPr="008E6A80">
        <w:rPr>
          <w:rFonts w:cs="Segoe UI"/>
        </w:rPr>
        <w:t>Low levels of access to finance have given rise to a market for digital finance and mobile money solutions.  Uptake of these technologies remains slow, however, and only 14%</w:t>
      </w:r>
      <w:r w:rsidRPr="008E6A80">
        <w:rPr>
          <w:rStyle w:val="FootnoteReference"/>
          <w:rFonts w:cs="Segoe UI"/>
        </w:rPr>
        <w:footnoteReference w:id="62"/>
      </w:r>
      <w:r w:rsidRPr="008E6A80">
        <w:rPr>
          <w:rFonts w:cs="Segoe UI"/>
        </w:rPr>
        <w:t xml:space="preserve"> of approximately 9 million mobile phone subscribers have registered mobile money accounts, of which only around 23%</w:t>
      </w:r>
      <w:r w:rsidR="00A74F1D">
        <w:rPr>
          <w:rFonts w:cs="Segoe UI"/>
        </w:rPr>
        <w:t xml:space="preserve"> are active</w:t>
      </w:r>
      <w:r w:rsidR="00900471">
        <w:rPr>
          <w:rFonts w:cs="Segoe UI"/>
        </w:rPr>
        <w:t>;</w:t>
      </w:r>
      <w:r w:rsidRPr="008E6A80">
        <w:rPr>
          <w:rStyle w:val="FootnoteReference"/>
          <w:rFonts w:cs="Segoe UI"/>
        </w:rPr>
        <w:footnoteReference w:id="63"/>
      </w:r>
      <w:r w:rsidRPr="008E6A80">
        <w:rPr>
          <w:rFonts w:cs="Segoe UI"/>
        </w:rPr>
        <w:t xml:space="preserve"> see MNO section for more information on MNOs from consultations. </w:t>
      </w:r>
    </w:p>
    <w:p w14:paraId="750973BC" w14:textId="4EA604DC" w:rsidR="00586942" w:rsidRPr="00066098" w:rsidRDefault="00586942" w:rsidP="00586942">
      <w:pPr>
        <w:pStyle w:val="H4NEWreportStyle"/>
      </w:pPr>
      <w:r w:rsidRPr="00066098">
        <w:t>Key themes from financial sector consultations</w:t>
      </w:r>
    </w:p>
    <w:p w14:paraId="06A9ED22" w14:textId="77777777" w:rsidR="00586942" w:rsidRPr="008E6A80" w:rsidRDefault="00586942" w:rsidP="00586942">
      <w:pPr>
        <w:jc w:val="both"/>
        <w:rPr>
          <w:rFonts w:cs="Segoe UI"/>
        </w:rPr>
      </w:pPr>
      <w:r w:rsidRPr="008E6A80">
        <w:rPr>
          <w:rFonts w:cs="Segoe UI"/>
        </w:rPr>
        <w:t>As part of a site visit to Niamey in September 2016, the OCA team conducted in-person consultations with several Nigerien commercial banks and MFIs. In combination with insights gained from additional extensive consultations with SMEs – many of whom were seeking bank financing or had sought it in the past (see Supply Side section above) – several key themes emerged. Overall, our consultations painted a picture of a financial sector that, while acutely aware of the social and market potential of solar technology, had very little experience in solar lending and remained hesitant to engage in a sector that they viewed as underdeveloped and high-risk. Specifically, consultations converged on the following observations:</w:t>
      </w:r>
    </w:p>
    <w:p w14:paraId="3FFAF251" w14:textId="7D1D7D65" w:rsidR="00586942" w:rsidRPr="008E6A80" w:rsidRDefault="00586942" w:rsidP="00586942">
      <w:pPr>
        <w:jc w:val="both"/>
        <w:rPr>
          <w:rFonts w:cs="Segoe UI"/>
        </w:rPr>
      </w:pPr>
      <w:r w:rsidRPr="008E6A80">
        <w:rPr>
          <w:rFonts w:cs="Segoe UI"/>
          <w:b/>
        </w:rPr>
        <w:t xml:space="preserve">Accessing financing as an SME in Niger is challenging. </w:t>
      </w:r>
      <w:r w:rsidRPr="008E6A80">
        <w:rPr>
          <w:rFonts w:cs="Segoe UI"/>
        </w:rPr>
        <w:t>Banks have SME-lending programs in place but so far these have remained underutilized and were not an area of priority for banks consulted. As mentioned in the supply-section above, lending terms can often be prohibitively expensive for early-stage and growth-stage businesses. Though CFA currency union generally makes inflation and interest rates lower than in many other Sub</w:t>
      </w:r>
      <w:r w:rsidR="000D7868">
        <w:rPr>
          <w:rFonts w:cs="Segoe UI"/>
        </w:rPr>
        <w:t>-</w:t>
      </w:r>
      <w:r w:rsidRPr="008E6A80">
        <w:rPr>
          <w:rFonts w:cs="Segoe UI"/>
        </w:rPr>
        <w:t xml:space="preserve">Saharan African markets, collateral requirements often reach 200% and typically include personal guarantees from company directors. SME lending is generally more accessible to businesses looking to finance equipment for one-off projects (both in solar and other asset-intensive businesses), but even then borrowers need to already either have a signed contract with an off-taker or the off-taker and borrower both have to be account holders at the bank. As a result, most businesses consulted made active efforts to avoid bank financing, and banks confirmed that uptake of SME products has been correspondingly low. </w:t>
      </w:r>
    </w:p>
    <w:p w14:paraId="192ED369" w14:textId="0A13AE55" w:rsidR="00586942" w:rsidRPr="001E27DE" w:rsidRDefault="00586942" w:rsidP="00586942">
      <w:pPr>
        <w:jc w:val="both"/>
        <w:rPr>
          <w:rFonts w:cs="Segoe UI"/>
        </w:rPr>
      </w:pPr>
      <w:r w:rsidRPr="008E6A80">
        <w:rPr>
          <w:rFonts w:cs="Segoe UI"/>
        </w:rPr>
        <w:lastRenderedPageBreak/>
        <w:t xml:space="preserve">Banks reported ongoing initiatives to grow SME portfolios and stimulate lending to the sector as a whole, though with mixed success. One bank consulted had recently worked with a German consultancy under a World Bank-funded project to better structure its current banking systems and processes to SME requirements, with a particular focus on SMEs in agriculture. According to the bank, however, ambitions for the program were too high and local bank staff struggled to implement recommendations </w:t>
      </w:r>
      <w:r w:rsidR="000D7868">
        <w:rPr>
          <w:rFonts w:cs="Segoe UI"/>
        </w:rPr>
        <w:t>with</w:t>
      </w:r>
      <w:r w:rsidRPr="008E6A80">
        <w:rPr>
          <w:rFonts w:cs="Segoe UI"/>
        </w:rPr>
        <w:t xml:space="preserve">in the timeframe of the project. </w:t>
      </w:r>
      <w:r w:rsidRPr="001E27DE">
        <w:rPr>
          <w:rFonts w:cs="Segoe UI"/>
        </w:rPr>
        <w:t>More systemic efforts include policies currently under development by the Central Bank of Niger to improve SME lending conditions</w:t>
      </w:r>
      <w:r w:rsidR="000D7868">
        <w:rPr>
          <w:rFonts w:cs="Segoe UI"/>
        </w:rPr>
        <w:t>,</w:t>
      </w:r>
      <w:r w:rsidRPr="001E27DE">
        <w:rPr>
          <w:rFonts w:cs="Segoe UI"/>
        </w:rPr>
        <w:t xml:space="preserve"> for instance by refinancing SME loans and creating a clearer SME policy framework (though note this is based on consultations with banks, not the Central Bank itself). </w:t>
      </w:r>
    </w:p>
    <w:p w14:paraId="34712FA6" w14:textId="75DA95A2" w:rsidR="00586942" w:rsidRPr="008E6A80" w:rsidRDefault="00510250" w:rsidP="00586942">
      <w:pPr>
        <w:jc w:val="both"/>
        <w:rPr>
          <w:rFonts w:cs="Segoe UI"/>
        </w:rPr>
      </w:pPr>
      <w:r w:rsidRPr="00FA0670">
        <w:rPr>
          <w:rFonts w:cs="Segoe UI"/>
          <w:b/>
        </w:rPr>
        <w:t>Several c</w:t>
      </w:r>
      <w:r w:rsidR="00586942" w:rsidRPr="00FA0670">
        <w:rPr>
          <w:rFonts w:cs="Segoe UI"/>
          <w:b/>
        </w:rPr>
        <w:t>ommercial banks</w:t>
      </w:r>
      <w:r w:rsidRPr="00FA0670">
        <w:rPr>
          <w:rFonts w:cs="Segoe UI"/>
          <w:b/>
        </w:rPr>
        <w:t xml:space="preserve"> consulted</w:t>
      </w:r>
      <w:r w:rsidR="00586942" w:rsidRPr="00FA0670">
        <w:rPr>
          <w:rFonts w:cs="Segoe UI"/>
          <w:b/>
        </w:rPr>
        <w:t xml:space="preserve"> view the solar sector as </w:t>
      </w:r>
      <w:r w:rsidRPr="00FA0670">
        <w:rPr>
          <w:rFonts w:cs="Segoe UI"/>
          <w:b/>
        </w:rPr>
        <w:t xml:space="preserve">very </w:t>
      </w:r>
      <w:r w:rsidR="00586942" w:rsidRPr="00FA0670">
        <w:rPr>
          <w:rFonts w:cs="Segoe UI"/>
          <w:b/>
        </w:rPr>
        <w:t>early-stage</w:t>
      </w:r>
      <w:r w:rsidRPr="00FA0670">
        <w:rPr>
          <w:rFonts w:cs="Segoe UI"/>
          <w:b/>
        </w:rPr>
        <w:t xml:space="preserve"> and are hesitant to lend to a nascent sector</w:t>
      </w:r>
      <w:r w:rsidR="00586942" w:rsidRPr="00FA0670">
        <w:rPr>
          <w:rFonts w:cs="Segoe UI"/>
          <w:b/>
        </w:rPr>
        <w:t>.</w:t>
      </w:r>
      <w:r w:rsidR="00586942" w:rsidRPr="008E6A80">
        <w:rPr>
          <w:rFonts w:cs="Segoe UI"/>
          <w:b/>
        </w:rPr>
        <w:t xml:space="preserve"> </w:t>
      </w:r>
      <w:r w:rsidR="00586942" w:rsidRPr="008E6A80">
        <w:rPr>
          <w:rFonts w:cs="Segoe UI"/>
        </w:rPr>
        <w:t>Though banks reported that they were being approached for solar project finance by an increasing number of engineering firms in recent years, they also agreed that at present there were very few bankable opportunities for corporate finance in the solar sector. Potential borrowers – especially those applying for broader corporate finance as opposed to project finance – typically lacked the track record, collateral, and (in some cases) formality to qualify for bank lending. Ban</w:t>
      </w:r>
      <w:r w:rsidR="000632D1">
        <w:rPr>
          <w:rFonts w:cs="Segoe UI"/>
        </w:rPr>
        <w:t>k</w:t>
      </w:r>
      <w:r w:rsidR="00586942" w:rsidRPr="008E6A80">
        <w:rPr>
          <w:rFonts w:cs="Segoe UI"/>
        </w:rPr>
        <w:t xml:space="preserve">s consulted also raised concerns about the fundamental bankability of the solar business model in Niger, as there was a general perceived lack of capacity both for running business operations and for providing technical support and maintenance. Other concerns raised included the over-regulation of the sector in some areas (specifically import duties), and the under-regulation in others (lack of standards and licensing mechanisms that made it very difficult to distinguish legitimate, reputable businesses). </w:t>
      </w:r>
    </w:p>
    <w:p w14:paraId="753DB83C" w14:textId="5970BDED" w:rsidR="00586942" w:rsidRPr="008E6A80" w:rsidRDefault="00586942" w:rsidP="00586942">
      <w:pPr>
        <w:jc w:val="both"/>
        <w:rPr>
          <w:rFonts w:cs="Segoe UI"/>
        </w:rPr>
      </w:pPr>
      <w:r w:rsidRPr="008E6A80">
        <w:rPr>
          <w:rFonts w:cs="Segoe UI"/>
          <w:b/>
        </w:rPr>
        <w:t xml:space="preserve">Guarantees can be effective in influencing lending decisions, but are unlikely to lead to fundamental shifts in lending strategy. </w:t>
      </w:r>
      <w:r w:rsidRPr="008E6A80">
        <w:rPr>
          <w:rFonts w:cs="Segoe UI"/>
        </w:rPr>
        <w:t xml:space="preserve">Several guarantee programs from various international development organizations are already available to Nigerien banks to stimulate lending across a range of sectors. Examples of this include AFD’s 50% partial credit guarantee program targeted at SMEs as well as various government guarantee schemes predominantly for road construction and other large-scale infrastructure. Banks consulted </w:t>
      </w:r>
      <w:r w:rsidR="000D7868">
        <w:rPr>
          <w:rFonts w:cs="Segoe UI"/>
        </w:rPr>
        <w:t xml:space="preserve">indicated </w:t>
      </w:r>
      <w:r w:rsidRPr="008E6A80">
        <w:rPr>
          <w:rFonts w:cs="Segoe UI"/>
        </w:rPr>
        <w:t>that these guarantees made it easier to lend in specific cases, but only affected overall lending decisions in marginal cases where the guarantee helped to sufficiently de-risk loans that already fit into banks’ existing lending processes and strategy. For instance, one bank reported that given current internal capacity and priorities, it was unlikely that even a very generous guarantee would lead to substantial new lending for off-grid solar businesses that were operating both an untested business model and in untested markets. Lines of credit were seen as a more attractive potential intervention as they encouraged lending in addition to</w:t>
      </w:r>
      <w:r w:rsidR="000D7868">
        <w:rPr>
          <w:rFonts w:cs="Segoe UI"/>
        </w:rPr>
        <w:t>,</w:t>
      </w:r>
      <w:r w:rsidRPr="008E6A80">
        <w:rPr>
          <w:rFonts w:cs="Segoe UI"/>
        </w:rPr>
        <w:t xml:space="preserve"> rather than replacing</w:t>
      </w:r>
      <w:r w:rsidR="000D7868">
        <w:rPr>
          <w:rFonts w:cs="Segoe UI"/>
        </w:rPr>
        <w:t>,</w:t>
      </w:r>
      <w:r w:rsidRPr="008E6A80">
        <w:rPr>
          <w:rFonts w:cs="Segoe UI"/>
        </w:rPr>
        <w:t xml:space="preserve"> current lending practices, but again only if structured to fit well within banks’ existing processes and operations.  </w:t>
      </w:r>
    </w:p>
    <w:p w14:paraId="5BD1DA32" w14:textId="694A18E7" w:rsidR="00586942" w:rsidRPr="008E6A80" w:rsidRDefault="00586942" w:rsidP="00586942">
      <w:pPr>
        <w:jc w:val="both"/>
        <w:rPr>
          <w:rFonts w:cs="Segoe UI"/>
        </w:rPr>
      </w:pPr>
      <w:r w:rsidRPr="00FA0670">
        <w:rPr>
          <w:rFonts w:cs="Segoe UI"/>
          <w:b/>
        </w:rPr>
        <w:t xml:space="preserve">Commercial banks see consumer finance </w:t>
      </w:r>
      <w:r w:rsidR="00510250" w:rsidRPr="00FA0670">
        <w:rPr>
          <w:rFonts w:cs="Segoe UI"/>
          <w:b/>
        </w:rPr>
        <w:t>for small</w:t>
      </w:r>
      <w:r w:rsidR="00D076E7" w:rsidRPr="00FA0670">
        <w:rPr>
          <w:rFonts w:cs="Segoe UI"/>
          <w:b/>
        </w:rPr>
        <w:t>er solar devices</w:t>
      </w:r>
      <w:r w:rsidR="00510250" w:rsidRPr="00FA0670">
        <w:rPr>
          <w:rFonts w:cs="Segoe UI"/>
          <w:b/>
        </w:rPr>
        <w:t xml:space="preserve"> </w:t>
      </w:r>
      <w:r w:rsidRPr="00FA0670">
        <w:rPr>
          <w:rFonts w:cs="Segoe UI"/>
          <w:b/>
        </w:rPr>
        <w:t>as the remit of MFIs</w:t>
      </w:r>
      <w:r w:rsidR="00D076E7" w:rsidRPr="00FA0670">
        <w:rPr>
          <w:rFonts w:cs="Segoe UI"/>
          <w:b/>
        </w:rPr>
        <w:t>, especially in rural off-grid areas</w:t>
      </w:r>
      <w:r w:rsidRPr="00FA0670">
        <w:rPr>
          <w:rFonts w:cs="Segoe UI"/>
          <w:b/>
        </w:rPr>
        <w:t xml:space="preserve">. </w:t>
      </w:r>
      <w:r w:rsidRPr="00FA0670">
        <w:rPr>
          <w:rFonts w:cs="Segoe UI"/>
        </w:rPr>
        <w:t xml:space="preserve">Banks consulted reported </w:t>
      </w:r>
      <w:r w:rsidR="004C6C20" w:rsidRPr="00FA0670">
        <w:rPr>
          <w:rFonts w:cs="Segoe UI"/>
        </w:rPr>
        <w:t>a limited product offering and low uptake of</w:t>
      </w:r>
      <w:r w:rsidRPr="00FA0670">
        <w:rPr>
          <w:rFonts w:cs="Segoe UI"/>
        </w:rPr>
        <w:t xml:space="preserve"> individual consumer finance loans</w:t>
      </w:r>
      <w:r w:rsidRPr="008E6A80">
        <w:rPr>
          <w:rFonts w:cs="Segoe UI"/>
        </w:rPr>
        <w:t xml:space="preserve"> for solar products. Almost all banks consulted had recently begun offering personal loans for home solar devices, though to date these have only been accessed by a few dozen borrowers (per bank). In addition, these programs are geared to larger kits (with typical loan sizes of over US</w:t>
      </w:r>
      <w:r w:rsidR="000D7868">
        <w:rPr>
          <w:rFonts w:cs="Segoe UI"/>
        </w:rPr>
        <w:t xml:space="preserve"> </w:t>
      </w:r>
      <w:r w:rsidRPr="008E6A80">
        <w:rPr>
          <w:rFonts w:cs="Segoe UI"/>
        </w:rPr>
        <w:t xml:space="preserve">$1,000 and power capacities of several hundred Watt) and only accessible to salaried account holders, who automatically make repayments from their salary every month. </w:t>
      </w:r>
    </w:p>
    <w:p w14:paraId="1CAC8882" w14:textId="13E3E68D" w:rsidR="00586942" w:rsidRPr="008E6A80" w:rsidRDefault="00586942" w:rsidP="00586942">
      <w:pPr>
        <w:jc w:val="both"/>
        <w:rPr>
          <w:rFonts w:cs="Segoe UI"/>
        </w:rPr>
      </w:pPr>
      <w:r w:rsidRPr="008E6A80">
        <w:rPr>
          <w:rFonts w:cs="Segoe UI"/>
        </w:rPr>
        <w:lastRenderedPageBreak/>
        <w:t>Though some banks have begun piloting similar personal loans but for large-scale irrigation equipment, they did not view consumer finance for smaller solar devices, especially in rural areas, as a sustainable line of businesses or attractive future opportunity. Reasons cited in consultations included the small size of the loans, especially as viewed against typical bank transaction cost</w:t>
      </w:r>
      <w:r w:rsidR="007033B0">
        <w:rPr>
          <w:rFonts w:cs="Segoe UI"/>
        </w:rPr>
        <w:t>s</w:t>
      </w:r>
      <w:r w:rsidR="007E1719">
        <w:rPr>
          <w:rFonts w:cs="Segoe UI"/>
        </w:rPr>
        <w:t>,</w:t>
      </w:r>
      <w:r w:rsidRPr="008E6A80">
        <w:rPr>
          <w:rFonts w:cs="Segoe UI"/>
        </w:rPr>
        <w:t xml:space="preserve"> and that few banks believed they had sufficient reach to service off-grid customers outside of urban areas. </w:t>
      </w:r>
    </w:p>
    <w:p w14:paraId="21FD9CA0" w14:textId="43906F68" w:rsidR="00586942" w:rsidRPr="008E6A80" w:rsidRDefault="00586942" w:rsidP="00586942">
      <w:pPr>
        <w:jc w:val="both"/>
        <w:rPr>
          <w:rFonts w:cs="Segoe UI"/>
          <w:i/>
          <w:sz w:val="20"/>
          <w:szCs w:val="20"/>
        </w:rPr>
      </w:pPr>
      <w:r w:rsidRPr="008E6A80">
        <w:rPr>
          <w:rFonts w:cs="Segoe UI"/>
          <w:b/>
        </w:rPr>
        <w:t xml:space="preserve">The MFI sector in Niger is effective, but highly concentrated. </w:t>
      </w:r>
      <w:r w:rsidRPr="008E6A80">
        <w:rPr>
          <w:rFonts w:cs="Segoe UI"/>
        </w:rPr>
        <w:t xml:space="preserve">As mentioned above, MFIs have significantly deeper levels of financial penetration and substantially larger asset bases than </w:t>
      </w:r>
      <w:r w:rsidR="00233B0D">
        <w:rPr>
          <w:rFonts w:cs="Segoe UI"/>
        </w:rPr>
        <w:t xml:space="preserve">many </w:t>
      </w:r>
      <w:r w:rsidRPr="008E6A80">
        <w:rPr>
          <w:rFonts w:cs="Segoe UI"/>
        </w:rPr>
        <w:t>commercial banks in Niger. The sector is highly concentrated, however, a</w:t>
      </w:r>
      <w:r w:rsidR="00233B0D">
        <w:rPr>
          <w:rFonts w:cs="Segoe UI"/>
        </w:rPr>
        <w:t xml:space="preserve">nd the one dominant MFI is estimated to hold around 75-85% of total MFI accounts. </w:t>
      </w:r>
      <w:r w:rsidRPr="008E6A80">
        <w:rPr>
          <w:rFonts w:cs="Segoe UI"/>
        </w:rPr>
        <w:t>The remaining MFI accounts are distrib</w:t>
      </w:r>
      <w:r w:rsidR="009C01F7">
        <w:rPr>
          <w:rFonts w:cs="Segoe UI"/>
        </w:rPr>
        <w:t>uted across a fragmented system</w:t>
      </w:r>
      <w:r w:rsidRPr="008E6A80">
        <w:rPr>
          <w:rFonts w:cs="Segoe UI"/>
        </w:rPr>
        <w:t xml:space="preserve"> of smaller institutions and savings co-operatives. </w:t>
      </w:r>
    </w:p>
    <w:p w14:paraId="6E5E017E" w14:textId="074FD94B" w:rsidR="00D00A52" w:rsidRDefault="00233B0D" w:rsidP="00277B1A">
      <w:pPr>
        <w:jc w:val="both"/>
        <w:rPr>
          <w:rFonts w:cs="Segoe UI"/>
        </w:rPr>
      </w:pPr>
      <w:r>
        <w:rPr>
          <w:rFonts w:cs="Segoe UI"/>
        </w:rPr>
        <w:t xml:space="preserve">The largest MFI </w:t>
      </w:r>
      <w:r w:rsidR="00586942" w:rsidRPr="008E6A80">
        <w:rPr>
          <w:rFonts w:cs="Segoe UI"/>
        </w:rPr>
        <w:t>has considerable reach with off-grid populations</w:t>
      </w:r>
      <w:r>
        <w:rPr>
          <w:rFonts w:cs="Segoe UI"/>
        </w:rPr>
        <w:t xml:space="preserve">, as the vast majority of </w:t>
      </w:r>
      <w:r w:rsidR="00586942" w:rsidRPr="008E6A80">
        <w:rPr>
          <w:rFonts w:cs="Segoe UI"/>
        </w:rPr>
        <w:t xml:space="preserve">its clientele is based in rural areas, and its </w:t>
      </w:r>
      <w:r>
        <w:rPr>
          <w:rFonts w:cs="Segoe UI"/>
        </w:rPr>
        <w:t xml:space="preserve">more than 50 </w:t>
      </w:r>
      <w:r w:rsidR="00586942" w:rsidRPr="008E6A80">
        <w:rPr>
          <w:rFonts w:cs="Segoe UI"/>
        </w:rPr>
        <w:t>branches cover broad sections of the count</w:t>
      </w:r>
      <w:r>
        <w:rPr>
          <w:rFonts w:cs="Segoe UI"/>
        </w:rPr>
        <w:t>r</w:t>
      </w:r>
      <w:r w:rsidR="00586942" w:rsidRPr="008E6A80">
        <w:rPr>
          <w:rFonts w:cs="Segoe UI"/>
        </w:rPr>
        <w:t xml:space="preserve">y in both peri-urban and rural areas. Given their dominance, market penetration, and experience offering small asset loans, any consumer finance and affordability interventions will likely have to involve </w:t>
      </w:r>
      <w:r>
        <w:rPr>
          <w:rFonts w:cs="Segoe UI"/>
        </w:rPr>
        <w:t xml:space="preserve">this large MFI </w:t>
      </w:r>
      <w:r w:rsidR="00586942" w:rsidRPr="008E6A80">
        <w:rPr>
          <w:rFonts w:cs="Segoe UI"/>
        </w:rPr>
        <w:t>to some degree, while avoiding the pitfalls of previous partnership efforts</w:t>
      </w:r>
      <w:r>
        <w:rPr>
          <w:rFonts w:cs="Segoe UI"/>
        </w:rPr>
        <w:t xml:space="preserve"> between solar players and MFIs, </w:t>
      </w:r>
      <w:r w:rsidR="00586942" w:rsidRPr="008E6A80">
        <w:rPr>
          <w:rFonts w:cs="Segoe UI"/>
        </w:rPr>
        <w:t>by ensuring that responsibilities are clearly defined and that technical assistance is offered where needed.</w:t>
      </w:r>
      <w:r w:rsidR="00F6609F">
        <w:rPr>
          <w:rFonts w:cs="Segoe UI"/>
        </w:rPr>
        <w:t xml:space="preserve"> </w:t>
      </w:r>
    </w:p>
    <w:p w14:paraId="20BCD8E5" w14:textId="51987AEA" w:rsidR="002D2D1C" w:rsidRPr="00DF77FD" w:rsidRDefault="002D2D1C" w:rsidP="00DF77FD">
      <w:pPr>
        <w:jc w:val="both"/>
        <w:rPr>
          <w:rFonts w:cs="Segoe UI"/>
          <w:b/>
        </w:rPr>
      </w:pPr>
      <w:r w:rsidRPr="002D2D1C">
        <w:rPr>
          <w:rFonts w:cs="Segoe UI"/>
          <w:b/>
        </w:rPr>
        <w:t xml:space="preserve">Sharia </w:t>
      </w:r>
      <w:r w:rsidR="00F6609F" w:rsidRPr="002D2D1C">
        <w:rPr>
          <w:rFonts w:cs="Segoe UI"/>
          <w:b/>
        </w:rPr>
        <w:t xml:space="preserve">compliant </w:t>
      </w:r>
      <w:r w:rsidR="005A6A3D">
        <w:rPr>
          <w:rFonts w:cs="Segoe UI"/>
          <w:b/>
        </w:rPr>
        <w:t xml:space="preserve">consumer lending models will be </w:t>
      </w:r>
      <w:r w:rsidRPr="002D2D1C">
        <w:rPr>
          <w:rFonts w:cs="Segoe UI"/>
          <w:b/>
        </w:rPr>
        <w:t xml:space="preserve">key to </w:t>
      </w:r>
      <w:r w:rsidR="005A6A3D">
        <w:rPr>
          <w:rFonts w:cs="Segoe UI"/>
          <w:b/>
        </w:rPr>
        <w:t>meeting the financial needs of</w:t>
      </w:r>
      <w:r w:rsidR="00F6609F" w:rsidRPr="002D2D1C">
        <w:rPr>
          <w:rFonts w:cs="Segoe UI"/>
          <w:b/>
        </w:rPr>
        <w:t xml:space="preserve"> a broader share of the population.</w:t>
      </w:r>
      <w:r w:rsidRPr="00DF77FD">
        <w:rPr>
          <w:rFonts w:cs="Segoe UI"/>
        </w:rPr>
        <w:t xml:space="preserve"> </w:t>
      </w:r>
      <w:r w:rsidR="00DF77FD" w:rsidRPr="00DF77FD">
        <w:rPr>
          <w:rFonts w:cs="Segoe UI"/>
        </w:rPr>
        <w:t xml:space="preserve">With </w:t>
      </w:r>
      <w:r w:rsidR="005A6A3D">
        <w:rPr>
          <w:rFonts w:cs="Segoe UI"/>
        </w:rPr>
        <w:t>a</w:t>
      </w:r>
      <w:r w:rsidR="005A6A3D" w:rsidRPr="00BF7EB6">
        <w:rPr>
          <w:rFonts w:cs="Segoe UI"/>
        </w:rPr>
        <w:t xml:space="preserve">n estimated 98% of the Nigerien population </w:t>
      </w:r>
      <w:r w:rsidR="005A6A3D">
        <w:rPr>
          <w:rFonts w:cs="Segoe UI"/>
        </w:rPr>
        <w:t xml:space="preserve">being </w:t>
      </w:r>
      <w:r w:rsidR="005A6A3D" w:rsidRPr="00BF7EB6">
        <w:rPr>
          <w:rFonts w:cs="Segoe UI"/>
        </w:rPr>
        <w:t>Muslims</w:t>
      </w:r>
      <w:r w:rsidR="005A6A3D" w:rsidRPr="00BF7EB6">
        <w:rPr>
          <w:rStyle w:val="FootnoteReference"/>
          <w:rFonts w:cs="Segoe UI"/>
        </w:rPr>
        <w:footnoteReference w:id="64"/>
      </w:r>
      <w:r w:rsidR="005A6A3D">
        <w:rPr>
          <w:rFonts w:cs="Segoe UI"/>
        </w:rPr>
        <w:t>, consultations revealed</w:t>
      </w:r>
      <w:r w:rsidR="00487644">
        <w:rPr>
          <w:rFonts w:cs="Segoe UI"/>
        </w:rPr>
        <w:t xml:space="preserve"> a potential opportunity to expand the supply of </w:t>
      </w:r>
      <w:r w:rsidR="005A6A3D">
        <w:rPr>
          <w:rFonts w:cs="Segoe UI"/>
        </w:rPr>
        <w:t>S</w:t>
      </w:r>
      <w:r w:rsidR="005A6A3D" w:rsidRPr="00BF7EB6">
        <w:rPr>
          <w:rFonts w:cs="Segoe UI"/>
        </w:rPr>
        <w:t>haria compliant financial services</w:t>
      </w:r>
      <w:r w:rsidR="005A6A3D">
        <w:rPr>
          <w:rFonts w:cs="Segoe UI"/>
        </w:rPr>
        <w:t xml:space="preserve">, both for households and businesses. While demand for Sharia finance is hard to quantify in absence of market research, provision of Sharia compliant finance will surely be an important consideration </w:t>
      </w:r>
      <w:r w:rsidR="005A6A3D" w:rsidRPr="00BF7EB6">
        <w:rPr>
          <w:rFonts w:cs="Segoe UI"/>
        </w:rPr>
        <w:t xml:space="preserve">in </w:t>
      </w:r>
      <w:r w:rsidR="005A6A3D">
        <w:rPr>
          <w:rFonts w:cs="Segoe UI"/>
        </w:rPr>
        <w:t>stimulating broader uptake of consumer lending for solar products</w:t>
      </w:r>
      <w:r w:rsidR="00157325">
        <w:rPr>
          <w:rFonts w:cs="Segoe UI"/>
        </w:rPr>
        <w:t>, especially in rural areas</w:t>
      </w:r>
      <w:r w:rsidR="005A6A3D">
        <w:rPr>
          <w:rFonts w:cs="Segoe UI"/>
        </w:rPr>
        <w:t xml:space="preserve">. </w:t>
      </w:r>
    </w:p>
    <w:p w14:paraId="38DCDDA8" w14:textId="77777777" w:rsidR="00951CE6" w:rsidRPr="00955049" w:rsidRDefault="00951CE6" w:rsidP="00955049">
      <w:pPr>
        <w:pStyle w:val="H2NEWreportStyle"/>
      </w:pPr>
      <w:bookmarkStart w:id="156" w:name="_Toc467667457"/>
      <w:bookmarkStart w:id="157" w:name="_Toc501097047"/>
      <w:r w:rsidRPr="00955049">
        <w:t>Mobile network operators</w:t>
      </w:r>
      <w:bookmarkEnd w:id="156"/>
      <w:bookmarkEnd w:id="157"/>
      <w:r w:rsidRPr="00955049">
        <w:t xml:space="preserve"> </w:t>
      </w:r>
    </w:p>
    <w:p w14:paraId="58B0553E" w14:textId="3A2D28C9" w:rsidR="00B52303" w:rsidRPr="00687971" w:rsidRDefault="00B52303" w:rsidP="00955049">
      <w:pPr>
        <w:pStyle w:val="H4NEWreportStyle"/>
      </w:pPr>
      <w:r w:rsidRPr="00687971">
        <w:t>Overview of solar / MNO partnership opportunities</w:t>
      </w:r>
      <w:r w:rsidR="00A9142F">
        <w:t xml:space="preserve"> </w:t>
      </w:r>
      <w:r w:rsidRPr="00A9142F">
        <w:rPr>
          <w:b w:val="0"/>
          <w:i w:val="0"/>
          <w:vertAlign w:val="superscript"/>
        </w:rPr>
        <w:footnoteReference w:id="65"/>
      </w:r>
    </w:p>
    <w:p w14:paraId="7FC30895" w14:textId="31577738" w:rsidR="00B52303" w:rsidRPr="002C2138" w:rsidRDefault="00B52303" w:rsidP="00B52303">
      <w:pPr>
        <w:jc w:val="both"/>
        <w:rPr>
          <w:rFonts w:cs="Segoe UI"/>
        </w:rPr>
      </w:pPr>
      <w:r>
        <w:rPr>
          <w:rFonts w:cs="Segoe UI"/>
        </w:rPr>
        <w:t>M</w:t>
      </w:r>
      <w:r w:rsidRPr="002C2138">
        <w:rPr>
          <w:rFonts w:cs="Segoe UI"/>
        </w:rPr>
        <w:t>obile network operators (“MNOs”) h</w:t>
      </w:r>
      <w:r>
        <w:rPr>
          <w:rFonts w:cs="Segoe UI"/>
        </w:rPr>
        <w:t>ave become key partners of solar distributors in many markets across Sub</w:t>
      </w:r>
      <w:r w:rsidR="002D1C69">
        <w:rPr>
          <w:rFonts w:cs="Segoe UI"/>
        </w:rPr>
        <w:t>-</w:t>
      </w:r>
      <w:r>
        <w:rPr>
          <w:rFonts w:cs="Segoe UI"/>
        </w:rPr>
        <w:t>Saharan Africa, bringing a combination of deep distribution networks, widely recognized brands, as well as financial inclusion and credit rating systems through mobile money technology.</w:t>
      </w:r>
      <w:r w:rsidRPr="002C2138">
        <w:rPr>
          <w:rFonts w:cs="Segoe UI"/>
        </w:rPr>
        <w:t xml:space="preserve"> </w:t>
      </w:r>
      <w:r>
        <w:rPr>
          <w:rFonts w:cs="Segoe UI"/>
        </w:rPr>
        <w:t xml:space="preserve">Examples of these partnerships range from GSM-enabled payment integration </w:t>
      </w:r>
      <w:r w:rsidRPr="002C2138">
        <w:rPr>
          <w:rFonts w:cs="Segoe UI"/>
        </w:rPr>
        <w:t>to full sales support including product co-branding, direct distribution through outlets,</w:t>
      </w:r>
      <w:r>
        <w:rPr>
          <w:rFonts w:cs="Segoe UI"/>
        </w:rPr>
        <w:t xml:space="preserve"> and data integration</w:t>
      </w:r>
      <w:r w:rsidRPr="002C2138">
        <w:rPr>
          <w:rFonts w:cs="Segoe UI"/>
        </w:rPr>
        <w:t>.</w:t>
      </w:r>
      <w:r>
        <w:rPr>
          <w:rFonts w:cs="Segoe UI"/>
        </w:rPr>
        <w:t xml:space="preserve"> To date these partnerships have focused mostly on household-level solar home systems and solar lanterns, thoug</w:t>
      </w:r>
      <w:r w:rsidR="002C42E3">
        <w:rPr>
          <w:rFonts w:cs="Segoe UI"/>
        </w:rPr>
        <w:t>h a growing number of mini-grid</w:t>
      </w:r>
      <w:r>
        <w:rPr>
          <w:rFonts w:cs="Segoe UI"/>
        </w:rPr>
        <w:t xml:space="preserve"> operator</w:t>
      </w:r>
      <w:r w:rsidR="002C42E3">
        <w:rPr>
          <w:rFonts w:cs="Segoe UI"/>
        </w:rPr>
        <w:t>s</w:t>
      </w:r>
      <w:r>
        <w:rPr>
          <w:rFonts w:cs="Segoe UI"/>
        </w:rPr>
        <w:t xml:space="preserve"> have also begun partnering with MNOs to automate payment and registration services</w:t>
      </w:r>
      <w:r>
        <w:rPr>
          <w:rStyle w:val="FootnoteReference"/>
          <w:rFonts w:cs="Segoe UI"/>
        </w:rPr>
        <w:footnoteReference w:id="66"/>
      </w:r>
      <w:r>
        <w:rPr>
          <w:rFonts w:cs="Segoe UI"/>
        </w:rPr>
        <w:t xml:space="preserve">, and initial pilots are underway to link use of solar irrigation systems to regular </w:t>
      </w:r>
      <w:r>
        <w:rPr>
          <w:rFonts w:cs="Segoe UI"/>
        </w:rPr>
        <w:lastRenderedPageBreak/>
        <w:t>mobile money payments</w:t>
      </w:r>
      <w:r>
        <w:rPr>
          <w:rStyle w:val="FootnoteReference"/>
          <w:rFonts w:cs="Segoe UI"/>
        </w:rPr>
        <w:footnoteReference w:id="67"/>
      </w:r>
      <w:r>
        <w:rPr>
          <w:rFonts w:cs="Segoe UI"/>
        </w:rPr>
        <w:t xml:space="preserve">. </w:t>
      </w:r>
      <w:r w:rsidR="002C42E3" w:rsidRPr="008B21FB">
        <w:rPr>
          <w:rFonts w:cs="Segoe UI"/>
        </w:rPr>
        <w:t xml:space="preserve">Especially in areas with low population densities, mobile money </w:t>
      </w:r>
      <w:r w:rsidR="00C27A92" w:rsidRPr="008B21FB">
        <w:rPr>
          <w:rFonts w:cs="Segoe UI"/>
        </w:rPr>
        <w:t>is key to reducing operational costs to make small microfinance lending a viable business model.</w:t>
      </w:r>
      <w:r w:rsidR="00C27A92">
        <w:rPr>
          <w:rFonts w:cs="Segoe UI"/>
        </w:rPr>
        <w:t xml:space="preserve">  </w:t>
      </w:r>
    </w:p>
    <w:p w14:paraId="782D2CE5" w14:textId="77777777" w:rsidR="00B52303" w:rsidRPr="002C2138" w:rsidRDefault="00B52303" w:rsidP="00B52303">
      <w:pPr>
        <w:jc w:val="both"/>
        <w:rPr>
          <w:rFonts w:cs="Segoe UI"/>
        </w:rPr>
      </w:pPr>
      <w:r>
        <w:rPr>
          <w:rFonts w:cs="Segoe UI"/>
        </w:rPr>
        <w:t xml:space="preserve">These </w:t>
      </w:r>
      <w:r w:rsidRPr="000C4F5C">
        <w:rPr>
          <w:rFonts w:cs="Segoe UI"/>
        </w:rPr>
        <w:t>partnership</w:t>
      </w:r>
      <w:r>
        <w:rPr>
          <w:rFonts w:cs="Segoe UI"/>
        </w:rPr>
        <w:t>s are also beneficial for MNOs, both in cash and non-cash terms</w:t>
      </w:r>
      <w:r w:rsidRPr="000C4F5C">
        <w:rPr>
          <w:rFonts w:cs="Segoe UI"/>
        </w:rPr>
        <w:t xml:space="preserve">. </w:t>
      </w:r>
      <w:r>
        <w:rPr>
          <w:rFonts w:cs="Segoe UI"/>
        </w:rPr>
        <w:t xml:space="preserve">Cash benefits include mobile money transactions commission, and a revenue share or commission based on sales through </w:t>
      </w:r>
      <w:r w:rsidRPr="00786B44">
        <w:rPr>
          <w:rFonts w:cs="Segoe UI"/>
        </w:rPr>
        <w:t>shared distribution networks. Non-cash benefits include increase in airtime usage for customers who would not otherwise have access to phone charging and significant expansion of mobile money users, especially among demographics not otherwise reached by the MNO. The latter has been a powerful driver for MNOs. MNOs</w:t>
      </w:r>
      <w:r>
        <w:rPr>
          <w:rFonts w:cs="Segoe UI"/>
        </w:rPr>
        <w:t>, including in Niger,</w:t>
      </w:r>
      <w:r w:rsidRPr="00786B44">
        <w:rPr>
          <w:rFonts w:cs="Segoe UI"/>
        </w:rPr>
        <w:t xml:space="preserve"> have observed how challenging it is to raise awareness of mobile money, especially among rural populations; by contrast, selling energy services is far easier and offers a direct entry point to mobile money usage.</w:t>
      </w:r>
    </w:p>
    <w:p w14:paraId="78203544" w14:textId="77777777" w:rsidR="00B52303" w:rsidRPr="00687971" w:rsidRDefault="00B52303" w:rsidP="00955049">
      <w:pPr>
        <w:pStyle w:val="H4NEWreportStyle"/>
      </w:pPr>
      <w:bookmarkStart w:id="158" w:name="_Toc475651459"/>
      <w:r w:rsidRPr="00687971">
        <w:t>Mobile Network Operators (MNOs)</w:t>
      </w:r>
      <w:bookmarkEnd w:id="158"/>
      <w:r>
        <w:t xml:space="preserve"> in Niger</w:t>
      </w:r>
    </w:p>
    <w:p w14:paraId="06A85716" w14:textId="05A6AB63" w:rsidR="00B52303" w:rsidRPr="002C2138" w:rsidRDefault="00B52303" w:rsidP="00B52303">
      <w:pPr>
        <w:jc w:val="both"/>
        <w:rPr>
          <w:rFonts w:cs="Segoe UI"/>
        </w:rPr>
      </w:pPr>
      <w:r>
        <w:rPr>
          <w:rFonts w:cs="Segoe UI"/>
        </w:rPr>
        <w:t>F</w:t>
      </w:r>
      <w:r w:rsidRPr="002C2138">
        <w:rPr>
          <w:rFonts w:cs="Segoe UI"/>
        </w:rPr>
        <w:t xml:space="preserve">our </w:t>
      </w:r>
      <w:r>
        <w:rPr>
          <w:rFonts w:cs="Segoe UI"/>
        </w:rPr>
        <w:t>MNOs currently make up the Nigerien market:</w:t>
      </w:r>
      <w:r w:rsidRPr="002C2138">
        <w:rPr>
          <w:rFonts w:cs="Segoe UI"/>
        </w:rPr>
        <w:t xml:space="preserve"> </w:t>
      </w:r>
      <w:r>
        <w:rPr>
          <w:rFonts w:cs="Segoe UI"/>
        </w:rPr>
        <w:t>Airtel</w:t>
      </w:r>
      <w:r w:rsidRPr="002C2138">
        <w:rPr>
          <w:rFonts w:cs="Segoe UI"/>
        </w:rPr>
        <w:t>, Orange, Moov and Sahelcom</w:t>
      </w:r>
      <w:r>
        <w:rPr>
          <w:rFonts w:cs="Segoe UI"/>
        </w:rPr>
        <w:t xml:space="preserve">. Airtel is </w:t>
      </w:r>
      <w:r w:rsidRPr="002C2138">
        <w:rPr>
          <w:rFonts w:cs="Segoe UI"/>
        </w:rPr>
        <w:t xml:space="preserve">the market leader followed </w:t>
      </w:r>
      <w:r>
        <w:rPr>
          <w:rFonts w:cs="Segoe UI"/>
        </w:rPr>
        <w:t>by Orange</w:t>
      </w:r>
      <w:r w:rsidR="007B48CC">
        <w:rPr>
          <w:rFonts w:cs="Segoe UI"/>
        </w:rPr>
        <w:t>.</w:t>
      </w:r>
      <w:r w:rsidRPr="002C2138">
        <w:rPr>
          <w:rFonts w:cs="Segoe UI"/>
        </w:rPr>
        <w:t xml:space="preserve"> </w:t>
      </w:r>
      <w:r>
        <w:rPr>
          <w:rFonts w:cs="Segoe UI"/>
        </w:rPr>
        <w:t xml:space="preserve">Combined, these MNOs account for close to 9 million mobile subscriptions, equivalent to around 45 subscriptions per 100 </w:t>
      </w:r>
      <w:r w:rsidR="002D1C69">
        <w:rPr>
          <w:rFonts w:cs="Segoe UI"/>
        </w:rPr>
        <w:t>people</w:t>
      </w:r>
      <w:r>
        <w:rPr>
          <w:rFonts w:cs="Segoe UI"/>
        </w:rPr>
        <w:t xml:space="preserve">. Though MNOs consulted reported strong growth in the Nigerien telco sector, these levels remain well below more mature West African markets. For comparison, subscription rates in Nigeria and Cote d’Ivoire – two markets that have seen strong recent solar market growth – stand at around 90 and 105 respectively per 100 </w:t>
      </w:r>
      <w:r w:rsidR="002D1C69">
        <w:rPr>
          <w:rFonts w:cs="Segoe UI"/>
        </w:rPr>
        <w:t>people</w:t>
      </w:r>
      <w:r w:rsidRPr="002C2138">
        <w:rPr>
          <w:rStyle w:val="FootnoteReference"/>
          <w:rFonts w:cs="Segoe UI"/>
        </w:rPr>
        <w:footnoteReference w:id="68"/>
      </w:r>
      <w:r>
        <w:rPr>
          <w:rFonts w:cs="Segoe UI"/>
        </w:rPr>
        <w:t>.</w:t>
      </w:r>
    </w:p>
    <w:p w14:paraId="03219155" w14:textId="075DF01E" w:rsidR="00B52303" w:rsidRPr="002C2138" w:rsidRDefault="00B52303" w:rsidP="00B52303">
      <w:pPr>
        <w:jc w:val="both"/>
        <w:rPr>
          <w:rFonts w:cs="Segoe UI"/>
        </w:rPr>
      </w:pPr>
      <w:r>
        <w:rPr>
          <w:rFonts w:cs="Segoe UI"/>
        </w:rPr>
        <w:t>Mobile money penetration and usage in Niger is similarly low. Though MNOs have launched mobile money platforms in Niger in recent years, their use is still comparatively limited, especially outside of Niamey</w:t>
      </w:r>
      <w:r>
        <w:rPr>
          <w:rStyle w:val="FootnoteReference"/>
          <w:rFonts w:cs="Segoe UI"/>
        </w:rPr>
        <w:footnoteReference w:id="69"/>
      </w:r>
      <w:r>
        <w:rPr>
          <w:rFonts w:cs="Segoe UI"/>
        </w:rPr>
        <w:t>.</w:t>
      </w:r>
      <w:r w:rsidRPr="002C2138">
        <w:rPr>
          <w:rFonts w:cs="Segoe UI"/>
        </w:rPr>
        <w:t xml:space="preserve"> </w:t>
      </w:r>
      <w:r>
        <w:rPr>
          <w:rFonts w:cs="Segoe UI"/>
        </w:rPr>
        <w:t xml:space="preserve">Currently, as shown in </w:t>
      </w:r>
      <w:r w:rsidR="00463A68">
        <w:rPr>
          <w:rFonts w:cs="Segoe UI"/>
        </w:rPr>
        <w:fldChar w:fldCharType="begin"/>
      </w:r>
      <w:r w:rsidR="00463A68">
        <w:rPr>
          <w:rFonts w:cs="Segoe UI"/>
        </w:rPr>
        <w:instrText xml:space="preserve"> REF _Ref477426235 \h </w:instrText>
      </w:r>
      <w:r w:rsidR="00463A68">
        <w:rPr>
          <w:rFonts w:cs="Segoe UI"/>
        </w:rPr>
      </w:r>
      <w:r w:rsidR="00463A68">
        <w:rPr>
          <w:rFonts w:cs="Segoe UI"/>
        </w:rPr>
        <w:fldChar w:fldCharType="separate"/>
      </w:r>
      <w:r w:rsidR="000D1C35">
        <w:t xml:space="preserve">Figure </w:t>
      </w:r>
      <w:r w:rsidR="000D1C35">
        <w:rPr>
          <w:noProof/>
        </w:rPr>
        <w:t>20</w:t>
      </w:r>
      <w:r w:rsidR="00463A68">
        <w:rPr>
          <w:rFonts w:cs="Segoe UI"/>
        </w:rPr>
        <w:fldChar w:fldCharType="end"/>
      </w:r>
      <w:r>
        <w:rPr>
          <w:rFonts w:cs="Segoe UI"/>
        </w:rPr>
        <w:t xml:space="preserve">, only around 300,000 MNO customers, or 3% of registered mobile phone subscribers, are active mobile money users. Nigerien MNOs noted increasing mobile money usage as a key strategic priority, and are running several marketing initiatives to this effect. For instance, </w:t>
      </w:r>
      <w:r w:rsidR="002D1C69">
        <w:rPr>
          <w:rFonts w:cs="Segoe UI"/>
        </w:rPr>
        <w:t xml:space="preserve">one MNO </w:t>
      </w:r>
      <w:r>
        <w:rPr>
          <w:rFonts w:cs="Segoe UI"/>
        </w:rPr>
        <w:t xml:space="preserve">is working with informal savings groups to attract more subscribers in rural areas, as well as with insurance sector associations to digitize insurance payments and other social payments. </w:t>
      </w:r>
      <w:r w:rsidR="002D1C69">
        <w:rPr>
          <w:rFonts w:cs="Segoe UI"/>
        </w:rPr>
        <w:t xml:space="preserve">This MNO </w:t>
      </w:r>
      <w:r>
        <w:rPr>
          <w:rFonts w:cs="Segoe UI"/>
        </w:rPr>
        <w:t>has also launched mobile money integration into utilities payments, where customers can prepay for power and water. According to consultations, however, usage of these initiativ</w:t>
      </w:r>
      <w:r w:rsidR="002A67D9">
        <w:rPr>
          <w:rFonts w:cs="Segoe UI"/>
        </w:rPr>
        <w:t xml:space="preserve">es remains well below potential, and the lacking uptake in </w:t>
      </w:r>
      <w:r w:rsidR="00222974">
        <w:rPr>
          <w:rFonts w:cs="Segoe UI"/>
        </w:rPr>
        <w:t xml:space="preserve">semi-rural and rural areas </w:t>
      </w:r>
      <w:r w:rsidR="002A67D9">
        <w:rPr>
          <w:rFonts w:cs="Segoe UI"/>
        </w:rPr>
        <w:t xml:space="preserve">limits the opportunity </w:t>
      </w:r>
      <w:r w:rsidR="00222974">
        <w:rPr>
          <w:rFonts w:cs="Segoe UI"/>
        </w:rPr>
        <w:t>of integrating mobile money into sales models targeting the off-grid population.</w:t>
      </w:r>
      <w:r w:rsidRPr="002C2138">
        <w:rPr>
          <w:rFonts w:cs="Segoe UI"/>
        </w:rPr>
        <w:t xml:space="preserve"> </w:t>
      </w:r>
    </w:p>
    <w:p w14:paraId="664D41B3" w14:textId="664C7DF0" w:rsidR="00463A68" w:rsidRDefault="00463A68" w:rsidP="00463A68">
      <w:pPr>
        <w:pStyle w:val="Caption"/>
        <w:jc w:val="both"/>
      </w:pPr>
      <w:bookmarkStart w:id="159" w:name="_Ref477426235"/>
      <w:bookmarkStart w:id="160" w:name="_Toc500969357"/>
      <w:r>
        <w:lastRenderedPageBreak/>
        <w:t xml:space="preserve">Figure </w:t>
      </w:r>
      <w:fldSimple w:instr=" SEQ Figure \* ARABIC ">
        <w:r w:rsidR="000D1C35">
          <w:rPr>
            <w:noProof/>
          </w:rPr>
          <w:t>20</w:t>
        </w:r>
      </w:fldSimple>
      <w:bookmarkEnd w:id="159"/>
      <w:r>
        <w:t xml:space="preserve">: </w:t>
      </w:r>
      <w:r w:rsidRPr="009C38AE">
        <w:t>Mobile penetration and mobile money uptake in Niger</w:t>
      </w:r>
      <w:bookmarkEnd w:id="160"/>
    </w:p>
    <w:p w14:paraId="243AF670" w14:textId="4A2B7CE2" w:rsidR="00B52303" w:rsidRDefault="000E1D88" w:rsidP="00B52303">
      <w:pPr>
        <w:jc w:val="both"/>
      </w:pPr>
      <w:r>
        <w:rPr>
          <w:noProof/>
        </w:rPr>
        <w:drawing>
          <wp:inline distT="0" distB="0" distL="0" distR="0" wp14:anchorId="0162CDFC" wp14:editId="777BA7DC">
            <wp:extent cx="6004451" cy="30764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6032517" cy="3090857"/>
                    </a:xfrm>
                    <a:prstGeom prst="rect">
                      <a:avLst/>
                    </a:prstGeom>
                    <a:ln>
                      <a:noFill/>
                    </a:ln>
                    <a:extLst>
                      <a:ext uri="{53640926-AAD7-44D8-BBD7-CCE9431645EC}">
                        <a14:shadowObscured xmlns:a14="http://schemas.microsoft.com/office/drawing/2010/main"/>
                      </a:ext>
                    </a:extLst>
                  </pic:spPr>
                </pic:pic>
              </a:graphicData>
            </a:graphic>
          </wp:inline>
        </w:drawing>
      </w:r>
    </w:p>
    <w:p w14:paraId="050CDE37" w14:textId="77777777" w:rsidR="00B52303" w:rsidRDefault="00B52303" w:rsidP="00955049">
      <w:pPr>
        <w:pStyle w:val="H4NEWreportStyle"/>
      </w:pPr>
      <w:r>
        <w:t>Partnership potential for solar in Niger</w:t>
      </w:r>
    </w:p>
    <w:p w14:paraId="59B587F2" w14:textId="77777777" w:rsidR="00B52303" w:rsidRDefault="00B52303" w:rsidP="00B52303">
      <w:pPr>
        <w:jc w:val="both"/>
        <w:rPr>
          <w:rFonts w:cs="Segoe UI"/>
        </w:rPr>
      </w:pPr>
      <w:r>
        <w:rPr>
          <w:rFonts w:cs="Segoe UI"/>
        </w:rPr>
        <w:t xml:space="preserve">Given the successful experience of partnerships between MNOs and solar operators in other markets, MNOs have the potential to become a key distribution, branding, and payment partner for Niger’s solar sector. </w:t>
      </w:r>
      <w:r w:rsidRPr="00FF4AFB">
        <w:rPr>
          <w:rFonts w:cs="Segoe UI"/>
        </w:rPr>
        <w:t xml:space="preserve">MNOs consulted understood the potential for energy products as a mechanism to their customer base and usage of their products, </w:t>
      </w:r>
      <w:r>
        <w:rPr>
          <w:rFonts w:cs="Segoe UI"/>
        </w:rPr>
        <w:t xml:space="preserve">but still viewed the sector as too small and lacking a concrete value proposition. Brand risk to MNOs from failed partnerships is substantial, especially in an unproven sector made up of unproven entities. </w:t>
      </w:r>
    </w:p>
    <w:p w14:paraId="242D2FF3" w14:textId="77777777" w:rsidR="00B52303" w:rsidRDefault="00B52303" w:rsidP="00B52303">
      <w:pPr>
        <w:jc w:val="both"/>
        <w:rPr>
          <w:rFonts w:cs="Segoe UI"/>
        </w:rPr>
      </w:pPr>
      <w:r>
        <w:rPr>
          <w:rFonts w:cs="Segoe UI"/>
        </w:rPr>
        <w:t xml:space="preserve">In addition, Niger’s fragmented MNO distribution network may prove incongruous with structuring far-reaching distribution partnerships with solar businesses. </w:t>
      </w:r>
      <w:r w:rsidRPr="00FC2305">
        <w:rPr>
          <w:rFonts w:cs="Segoe UI"/>
        </w:rPr>
        <w:t>The largest MNO network</w:t>
      </w:r>
      <w:r>
        <w:rPr>
          <w:rFonts w:cs="Segoe UI"/>
        </w:rPr>
        <w:t>s</w:t>
      </w:r>
      <w:r w:rsidRPr="00FC2305">
        <w:rPr>
          <w:rFonts w:cs="Segoe UI"/>
        </w:rPr>
        <w:t>, Airtel</w:t>
      </w:r>
      <w:r>
        <w:rPr>
          <w:rFonts w:cs="Segoe UI"/>
        </w:rPr>
        <w:t xml:space="preserve"> and Orange, have</w:t>
      </w:r>
      <w:r w:rsidRPr="00FC2305">
        <w:rPr>
          <w:rFonts w:cs="Segoe UI"/>
        </w:rPr>
        <w:t xml:space="preserve"> a total of 45,000 </w:t>
      </w:r>
      <w:r>
        <w:rPr>
          <w:rFonts w:cs="Segoe UI"/>
        </w:rPr>
        <w:t xml:space="preserve">and 30,000 points of sales respectively, the vast majority of which are small, independent agents served by a network of a few dozen intermediary dealers who serve as primary distribution partners for different parts of the countries. Based on our consultations and experience structuring MNO partnerships in other markets, specific challenges are likely to include: </w:t>
      </w:r>
    </w:p>
    <w:p w14:paraId="7495395E" w14:textId="77777777" w:rsidR="00B52303" w:rsidRPr="00D56998" w:rsidRDefault="00B52303" w:rsidP="006A7E1D">
      <w:pPr>
        <w:pStyle w:val="ListParagraph"/>
        <w:numPr>
          <w:ilvl w:val="0"/>
          <w:numId w:val="20"/>
        </w:numPr>
        <w:jc w:val="both"/>
        <w:rPr>
          <w:rFonts w:cs="Segoe UI"/>
        </w:rPr>
      </w:pPr>
      <w:r>
        <w:rPr>
          <w:rFonts w:cs="Segoe UI"/>
          <w:b/>
        </w:rPr>
        <w:t>Complexity of integration</w:t>
      </w:r>
      <w:r w:rsidRPr="00D56998">
        <w:rPr>
          <w:rFonts w:cs="Segoe UI"/>
          <w:b/>
        </w:rPr>
        <w:t xml:space="preserve">: </w:t>
      </w:r>
      <w:r w:rsidRPr="00D56998">
        <w:rPr>
          <w:rFonts w:cs="Segoe UI"/>
        </w:rPr>
        <w:t xml:space="preserve">The cost </w:t>
      </w:r>
      <w:r>
        <w:rPr>
          <w:rFonts w:cs="Segoe UI"/>
        </w:rPr>
        <w:t xml:space="preserve">and technical complexity </w:t>
      </w:r>
      <w:r w:rsidRPr="00D56998">
        <w:rPr>
          <w:rFonts w:cs="Segoe UI"/>
        </w:rPr>
        <w:t xml:space="preserve">of integrating </w:t>
      </w:r>
      <w:r>
        <w:rPr>
          <w:rFonts w:cs="Segoe UI"/>
        </w:rPr>
        <w:t>new</w:t>
      </w:r>
      <w:r w:rsidRPr="00D56998">
        <w:rPr>
          <w:rFonts w:cs="Segoe UI"/>
        </w:rPr>
        <w:t xml:space="preserve"> products into distribution channe</w:t>
      </w:r>
      <w:r>
        <w:rPr>
          <w:rFonts w:cs="Segoe UI"/>
        </w:rPr>
        <w:t>ls is substantial, especially if products require a consumer financing component and/or the collection and capture of consumer data.</w:t>
      </w:r>
      <w:r w:rsidRPr="00D56998">
        <w:rPr>
          <w:rFonts w:cs="Segoe UI"/>
        </w:rPr>
        <w:t xml:space="preserve"> </w:t>
      </w:r>
      <w:r>
        <w:rPr>
          <w:rFonts w:cs="Segoe UI"/>
        </w:rPr>
        <w:t>Given the f</w:t>
      </w:r>
      <w:r w:rsidRPr="00D56998">
        <w:rPr>
          <w:rFonts w:cs="Segoe UI"/>
        </w:rPr>
        <w:t xml:space="preserve">ragmented </w:t>
      </w:r>
      <w:r>
        <w:rPr>
          <w:rFonts w:cs="Segoe UI"/>
        </w:rPr>
        <w:t>nature of MNO distributors and sub-distributors in Niger, distribution partnership beyond small pilots will likely entail considerable complexity</w:t>
      </w:r>
    </w:p>
    <w:p w14:paraId="1BC6BEEA" w14:textId="77777777" w:rsidR="00B52303" w:rsidRPr="00FF4AFB" w:rsidRDefault="00B52303" w:rsidP="006A7E1D">
      <w:pPr>
        <w:pStyle w:val="ListParagraph"/>
        <w:numPr>
          <w:ilvl w:val="0"/>
          <w:numId w:val="20"/>
        </w:numPr>
        <w:jc w:val="both"/>
        <w:rPr>
          <w:rFonts w:cs="Segoe UI"/>
        </w:rPr>
      </w:pPr>
      <w:r>
        <w:rPr>
          <w:rFonts w:cs="Segoe UI"/>
          <w:b/>
        </w:rPr>
        <w:t xml:space="preserve">Limited distributor cash flows: </w:t>
      </w:r>
      <w:r>
        <w:rPr>
          <w:rFonts w:cs="Segoe UI"/>
        </w:rPr>
        <w:t xml:space="preserve">Based on MNO consultations, distributor liquidity is low and few will have the ability or appetite to hold large amounts of inventory of solar devices. MNOs themselves expressed similar hesitation at the prospect of pre-funding solar devices off their own </w:t>
      </w:r>
      <w:r>
        <w:rPr>
          <w:rFonts w:cs="Segoe UI"/>
        </w:rPr>
        <w:lastRenderedPageBreak/>
        <w:t>balance sheets. One possible solution for this is for MNO agents to sell on commission (though this would not address solar businesses’ considerable current working capital issues)</w:t>
      </w:r>
      <w:r w:rsidRPr="00FF4AFB">
        <w:rPr>
          <w:rFonts w:cs="Segoe UI"/>
        </w:rPr>
        <w:t>,</w:t>
      </w:r>
      <w:r>
        <w:rPr>
          <w:rFonts w:cs="Segoe UI"/>
        </w:rPr>
        <w:t xml:space="preserve"> but even then, experience in more established solar markets shows that solar companies or distributors typically ask for bank guarantees from sub-distributors to insure against loss, damage, or theft. Few MNO agents or sub-distributors are likely to be able to access these sorts of guarantees in Niger at present. </w:t>
      </w:r>
    </w:p>
    <w:p w14:paraId="3296E2E9" w14:textId="25B7D8E5" w:rsidR="00B52303" w:rsidRDefault="00B52303" w:rsidP="006A7E1D">
      <w:pPr>
        <w:pStyle w:val="ListParagraph"/>
        <w:numPr>
          <w:ilvl w:val="0"/>
          <w:numId w:val="20"/>
        </w:numPr>
        <w:jc w:val="both"/>
        <w:rPr>
          <w:rFonts w:cs="Segoe UI"/>
        </w:rPr>
      </w:pPr>
      <w:r w:rsidRPr="00FF4AFB">
        <w:rPr>
          <w:rFonts w:cs="Segoe UI"/>
          <w:b/>
        </w:rPr>
        <w:t xml:space="preserve">Lack of point-of-sale capacity: </w:t>
      </w:r>
      <w:r>
        <w:rPr>
          <w:rFonts w:cs="Segoe UI"/>
        </w:rPr>
        <w:t>In addition to sufficient distributor working capital, successful distribution partnerships also require points-of-sale with both the physical and the technical capacity to store and sell units, and respond to customer service issues. Selling bulky, technical</w:t>
      </w:r>
      <w:r w:rsidR="0001219D">
        <w:rPr>
          <w:rFonts w:cs="Segoe UI"/>
        </w:rPr>
        <w:t>ly</w:t>
      </w:r>
      <w:r>
        <w:rPr>
          <w:rFonts w:cs="Segoe UI"/>
        </w:rPr>
        <w:t xml:space="preserve"> complex solar devices from small kiosks with limited retail space and technical know-how will likely prove challenging in the absence of substantial investment in infrastructure and capacity building.</w:t>
      </w:r>
    </w:p>
    <w:p w14:paraId="5192CE52" w14:textId="2D8E3678" w:rsidR="00B52303" w:rsidRDefault="00B52303" w:rsidP="00951CE6">
      <w:pPr>
        <w:jc w:val="both"/>
        <w:rPr>
          <w:rFonts w:cs="Segoe UI"/>
        </w:rPr>
      </w:pPr>
      <w:r>
        <w:rPr>
          <w:rFonts w:cs="Segoe UI"/>
        </w:rPr>
        <w:t>Though it will be critical to keep MNOs involved in the broader conversation as much as possible, several factors make it unlikely, however, that MNOs offer a near-term opportunity for partnership or intervention</w:t>
      </w:r>
      <w:r w:rsidR="001E27DE">
        <w:rPr>
          <w:rFonts w:cs="Segoe UI"/>
        </w:rPr>
        <w:t>.</w:t>
      </w:r>
    </w:p>
    <w:p w14:paraId="046EE32E" w14:textId="77777777" w:rsidR="00CF0DA1" w:rsidRDefault="00CF0DA1">
      <w:pPr>
        <w:rPr>
          <w:rFonts w:eastAsiaTheme="majorEastAsia" w:cs="Segoe UI"/>
          <w:b/>
          <w:bCs/>
          <w:color w:val="407A82" w:themeColor="accent1" w:themeShade="80"/>
          <w:sz w:val="28"/>
          <w:szCs w:val="28"/>
        </w:rPr>
      </w:pPr>
      <w:bookmarkStart w:id="161" w:name="_Ref466585558"/>
      <w:bookmarkStart w:id="162" w:name="_Toc473046328"/>
      <w:bookmarkStart w:id="163" w:name="_Toc475651456"/>
      <w:bookmarkStart w:id="164" w:name="_Toc475652347"/>
      <w:bookmarkStart w:id="165" w:name="_Ref476124967"/>
      <w:r>
        <w:br w:type="page"/>
      </w:r>
    </w:p>
    <w:p w14:paraId="0756C095" w14:textId="55A3B54B" w:rsidR="00A615EB" w:rsidRPr="00955049" w:rsidRDefault="00A615EB" w:rsidP="00955049">
      <w:pPr>
        <w:pStyle w:val="H1NEWreportStyle"/>
      </w:pPr>
      <w:bookmarkStart w:id="166" w:name="_Toc501097048"/>
      <w:r w:rsidRPr="00955049">
        <w:lastRenderedPageBreak/>
        <w:t>Challenges</w:t>
      </w:r>
      <w:bookmarkEnd w:id="161"/>
      <w:bookmarkEnd w:id="162"/>
      <w:r w:rsidRPr="00955049">
        <w:t xml:space="preserve"> to solar market growth</w:t>
      </w:r>
      <w:bookmarkEnd w:id="163"/>
      <w:bookmarkEnd w:id="164"/>
      <w:bookmarkEnd w:id="165"/>
      <w:bookmarkEnd w:id="166"/>
    </w:p>
    <w:p w14:paraId="2626DA57" w14:textId="77777777" w:rsidR="00A615EB" w:rsidRPr="00BF41FF" w:rsidRDefault="00A615EB" w:rsidP="00A615EB">
      <w:pPr>
        <w:jc w:val="both"/>
      </w:pPr>
      <w:r w:rsidRPr="00BF41FF">
        <w:t xml:space="preserve">Despite the market opportunity </w:t>
      </w:r>
      <w:r>
        <w:t>for solar in Niger (see demand analysis chapter) and a small but capable set of solar suppliers</w:t>
      </w:r>
      <w:r w:rsidRPr="00BF41FF">
        <w:t xml:space="preserve">, the market in Niger remains </w:t>
      </w:r>
      <w:r>
        <w:t xml:space="preserve">at an </w:t>
      </w:r>
      <w:r w:rsidRPr="00BF41FF">
        <w:t xml:space="preserve">extremely early stage, </w:t>
      </w:r>
      <w:r>
        <w:t xml:space="preserve">especially for end-consumer-facing, market-driven business models. Businesses and other stakeholders consulted broadly agreed on the </w:t>
      </w:r>
      <w:r w:rsidRPr="00BF41FF">
        <w:t>principal barriers to</w:t>
      </w:r>
      <w:r>
        <w:t xml:space="preserve"> growth and unlocking the solar market.</w:t>
      </w:r>
      <w:r w:rsidRPr="00BF41FF">
        <w:t xml:space="preserve"> In summary, the main challenges</w:t>
      </w:r>
      <w:r>
        <w:t xml:space="preserve"> reported</w:t>
      </w:r>
      <w:r w:rsidRPr="00BF41FF">
        <w:t xml:space="preserve"> were:</w:t>
      </w:r>
    </w:p>
    <w:p w14:paraId="3B92F6A6" w14:textId="77777777" w:rsidR="00A615EB" w:rsidRPr="001C2966" w:rsidRDefault="00A615EB" w:rsidP="006A7E1D">
      <w:pPr>
        <w:pStyle w:val="ListParagraph"/>
        <w:numPr>
          <w:ilvl w:val="0"/>
          <w:numId w:val="19"/>
        </w:numPr>
        <w:jc w:val="both"/>
        <w:rPr>
          <w:lang w:val="fr-FR"/>
        </w:rPr>
      </w:pPr>
      <w:r w:rsidRPr="001C2966">
        <w:rPr>
          <w:lang w:val="fr-FR"/>
        </w:rPr>
        <w:t>Import duties on solar devices</w:t>
      </w:r>
    </w:p>
    <w:p w14:paraId="100D1D3E" w14:textId="77777777" w:rsidR="00A615EB" w:rsidRPr="00BF41FF" w:rsidRDefault="00A615EB" w:rsidP="006A7E1D">
      <w:pPr>
        <w:pStyle w:val="ListParagraph"/>
        <w:numPr>
          <w:ilvl w:val="0"/>
          <w:numId w:val="19"/>
        </w:numPr>
        <w:jc w:val="both"/>
      </w:pPr>
      <w:r w:rsidRPr="00BF41FF">
        <w:t>Limited access to corporate finance</w:t>
      </w:r>
    </w:p>
    <w:p w14:paraId="62278C51" w14:textId="77777777" w:rsidR="00A615EB" w:rsidRPr="00BF41FF" w:rsidRDefault="00A615EB" w:rsidP="006A7E1D">
      <w:pPr>
        <w:pStyle w:val="ListParagraph"/>
        <w:numPr>
          <w:ilvl w:val="0"/>
          <w:numId w:val="19"/>
        </w:numPr>
        <w:jc w:val="both"/>
      </w:pPr>
      <w:r w:rsidRPr="00BF41FF">
        <w:t xml:space="preserve">Low </w:t>
      </w:r>
      <w:r>
        <w:t xml:space="preserve">consumer </w:t>
      </w:r>
      <w:r w:rsidRPr="00BF41FF">
        <w:t>purchasing power and lack of consumer finance</w:t>
      </w:r>
    </w:p>
    <w:p w14:paraId="223EF37E" w14:textId="77777777" w:rsidR="00A615EB" w:rsidRPr="00BF41FF" w:rsidRDefault="00A615EB" w:rsidP="006A7E1D">
      <w:pPr>
        <w:pStyle w:val="ListParagraph"/>
        <w:numPr>
          <w:ilvl w:val="0"/>
          <w:numId w:val="19"/>
        </w:numPr>
        <w:jc w:val="both"/>
      </w:pPr>
      <w:r w:rsidRPr="00BF41FF">
        <w:t>Lack of partners for distribution and maintenance</w:t>
      </w:r>
    </w:p>
    <w:p w14:paraId="640FEA1C" w14:textId="77777777" w:rsidR="00A615EB" w:rsidRPr="00BF41FF" w:rsidRDefault="00A615EB" w:rsidP="006A7E1D">
      <w:pPr>
        <w:pStyle w:val="ListParagraph"/>
        <w:numPr>
          <w:ilvl w:val="0"/>
          <w:numId w:val="19"/>
        </w:numPr>
        <w:jc w:val="both"/>
      </w:pPr>
      <w:r w:rsidRPr="00BF41FF">
        <w:t>Competition from informal players and market spoilage</w:t>
      </w:r>
    </w:p>
    <w:p w14:paraId="51951CFF" w14:textId="35A47642" w:rsidR="00A615EB" w:rsidRDefault="00A615EB" w:rsidP="006A7E1D">
      <w:pPr>
        <w:pStyle w:val="ListParagraph"/>
        <w:numPr>
          <w:ilvl w:val="0"/>
          <w:numId w:val="19"/>
        </w:numPr>
        <w:jc w:val="both"/>
      </w:pPr>
      <w:r w:rsidRPr="00BF41FF">
        <w:t>Low mobile money penetration</w:t>
      </w:r>
      <w:r w:rsidR="00331001">
        <w:rPr>
          <w:rStyle w:val="FootnoteReference"/>
        </w:rPr>
        <w:footnoteReference w:id="70"/>
      </w:r>
    </w:p>
    <w:p w14:paraId="608640E5" w14:textId="77777777" w:rsidR="00A615EB" w:rsidRPr="0005264C" w:rsidRDefault="00A615EB" w:rsidP="00A615EB">
      <w:pPr>
        <w:jc w:val="both"/>
      </w:pPr>
      <w:r w:rsidRPr="00BF41FF">
        <w:t>The rest of this section discusses these challenges and their implications more ful</w:t>
      </w:r>
      <w:r>
        <w:t>l</w:t>
      </w:r>
      <w:r w:rsidRPr="00BF41FF">
        <w:t>y.</w:t>
      </w:r>
    </w:p>
    <w:p w14:paraId="25208237" w14:textId="77777777" w:rsidR="00A615EB" w:rsidRPr="00D42702" w:rsidRDefault="00A615EB" w:rsidP="00955049">
      <w:pPr>
        <w:pStyle w:val="H4NEWreportStyle"/>
      </w:pPr>
      <w:r w:rsidRPr="00E05132">
        <w:t>Challenge 1: High import duties on solar devices</w:t>
      </w:r>
    </w:p>
    <w:p w14:paraId="23A8E4C9" w14:textId="77777777" w:rsidR="00AE6EFD" w:rsidRDefault="00A615EB" w:rsidP="00A615EB">
      <w:pPr>
        <w:jc w:val="both"/>
        <w:rPr>
          <w:rFonts w:cs="Segoe UI"/>
        </w:rPr>
      </w:pPr>
      <w:r>
        <w:rPr>
          <w:rFonts w:cs="Segoe UI"/>
        </w:rPr>
        <w:t xml:space="preserve">Business consulted unanimously agreed that Nigerien import duties on solar technology were perhaps the principal barrier to scale, and that removing or reducing these would be one of the most effective methods of unlocking rapid growth in the market. </w:t>
      </w:r>
    </w:p>
    <w:p w14:paraId="6B3035F2" w14:textId="0094E535" w:rsidR="00A615EB" w:rsidRDefault="00A615EB" w:rsidP="00A615EB">
      <w:pPr>
        <w:jc w:val="both"/>
        <w:rPr>
          <w:rFonts w:cs="Segoe UI"/>
        </w:rPr>
      </w:pPr>
      <w:r>
        <w:rPr>
          <w:rFonts w:cs="Segoe UI"/>
        </w:rPr>
        <w:t>At the time of writing, solar imports are subject to a</w:t>
      </w:r>
      <w:r w:rsidR="00D85BDC">
        <w:rPr>
          <w:rFonts w:cs="Segoe UI"/>
        </w:rPr>
        <w:t>round 50</w:t>
      </w:r>
      <w:r>
        <w:rPr>
          <w:rFonts w:cs="Segoe UI"/>
        </w:rPr>
        <w:t xml:space="preserve">% </w:t>
      </w:r>
      <w:r w:rsidR="00D85BDC">
        <w:rPr>
          <w:rFonts w:cs="Segoe UI"/>
        </w:rPr>
        <w:t xml:space="preserve">taxes and duties applied to the customs value of the product </w:t>
      </w:r>
      <w:r>
        <w:rPr>
          <w:rFonts w:cs="Segoe UI"/>
        </w:rPr>
        <w:t xml:space="preserve">upon importation to Niger. </w:t>
      </w:r>
      <w:r w:rsidR="00D85BDC">
        <w:rPr>
          <w:rFonts w:cs="Segoe UI"/>
        </w:rPr>
        <w:t xml:space="preserve">Solar panels are exempted from customs duties, but batteries, inverters, solar fridges and other solar accessories are charged with 20% customs duties. Consultations revealed, that solar lanterns and solar home systems are also subject to the 20% customs duties if the solar panel is not packaged separately and invoiced as a separate component. </w:t>
      </w:r>
      <w:r w:rsidR="00940215">
        <w:rPr>
          <w:rFonts w:cs="Segoe UI"/>
        </w:rPr>
        <w:t>In addition, all products, including solar panels, are subject to 19% VAT and diverse other charges and taxes</w:t>
      </w:r>
      <w:r w:rsidR="000D51C1">
        <w:rPr>
          <w:rFonts w:cs="Segoe UI"/>
        </w:rPr>
        <w:t xml:space="preserve"> </w:t>
      </w:r>
      <w:r w:rsidR="000D51C1" w:rsidRPr="00662104">
        <w:rPr>
          <w:rStyle w:val="FootnoteReference"/>
          <w:rFonts w:cs="Segoe UI"/>
        </w:rPr>
        <w:footnoteReference w:id="71"/>
      </w:r>
      <w:r w:rsidR="00D47ADB">
        <w:rPr>
          <w:rFonts w:cs="Segoe UI"/>
        </w:rPr>
        <w:t>; consultations revealed that the application of taxes and charges is quite ambiguous and that there is a lot of uncertainty surrounding which charges apply, and when.</w:t>
      </w:r>
      <w:r w:rsidR="00940215">
        <w:rPr>
          <w:rFonts w:cs="Segoe UI"/>
        </w:rPr>
        <w:t xml:space="preserve"> </w:t>
      </w:r>
      <w:r>
        <w:rPr>
          <w:rFonts w:cs="Segoe UI"/>
        </w:rPr>
        <w:t>For companies to remain profitable, they must pass on these costs to end-consumers, which in turn limits the market they can address to well-funded institutional clients rather than direct sales to private households.</w:t>
      </w:r>
    </w:p>
    <w:p w14:paraId="336AF980" w14:textId="77777777" w:rsidR="00D85BDC" w:rsidRDefault="00D85BDC" w:rsidP="00A615EB">
      <w:pPr>
        <w:jc w:val="both"/>
        <w:rPr>
          <w:rFonts w:cs="Segoe UI"/>
        </w:rPr>
      </w:pPr>
    </w:p>
    <w:p w14:paraId="33926712" w14:textId="77777777" w:rsidR="00A615EB" w:rsidRDefault="00A615EB" w:rsidP="00A615EB">
      <w:pPr>
        <w:jc w:val="both"/>
        <w:rPr>
          <w:rFonts w:cs="Segoe UI"/>
        </w:rPr>
      </w:pPr>
      <w:r>
        <w:rPr>
          <w:rFonts w:cs="Segoe UI"/>
        </w:rPr>
        <w:t xml:space="preserve">In addition to increasing input costs, these duties have further undermined solar businesses in Niger by contributing to the rise of a thriving informal sector for smaller-scale household devices, particularly solar lanterns. Though products entering through unofficial channels are typically of much lower quality and </w:t>
      </w:r>
      <w:r>
        <w:rPr>
          <w:rFonts w:cs="Segoe UI"/>
        </w:rPr>
        <w:lastRenderedPageBreak/>
        <w:t>durability, bypassing customs duties allows informal traders to undercut market prices sufficiently to compensate for quality differentials, particularly in a country with limited consumer awareness of different solar brands and quality issues of low-cost products. One particularly flagrant example of the duty’ distortionary effect on the local solar sector was offered by Total, who reported having to compete with Total products smuggled into Niger from Burkina Faso by informal traders.</w:t>
      </w:r>
    </w:p>
    <w:p w14:paraId="1288F595" w14:textId="77777777" w:rsidR="00A615EB" w:rsidRPr="00D42702" w:rsidRDefault="00A615EB" w:rsidP="00955049">
      <w:pPr>
        <w:pStyle w:val="H4NEWreportStyle"/>
      </w:pPr>
      <w:r w:rsidRPr="00D42702">
        <w:t xml:space="preserve">Challenge 2: </w:t>
      </w:r>
      <w:r>
        <w:t xml:space="preserve">Limited access to corporate finance </w:t>
      </w:r>
    </w:p>
    <w:p w14:paraId="2B421904" w14:textId="77777777" w:rsidR="00A615EB" w:rsidRDefault="00A615EB" w:rsidP="00A615EB">
      <w:pPr>
        <w:jc w:val="both"/>
        <w:rPr>
          <w:rFonts w:cs="Segoe UI"/>
        </w:rPr>
      </w:pPr>
      <w:r>
        <w:rPr>
          <w:rFonts w:cs="Segoe UI"/>
        </w:rPr>
        <w:t>Along with import duties, local businesses mentioned lack of access to growth capital as the primary constraint to growth of the solar sector in Niger. Devices and equipment are in almost all cases shipped either from China or from Europe, creating long delivery lead times. Typical supplier payment terms are 30% upon placement of the production order and the remaining 70% upon shipment before any cargo has even left its port of origin. Coupled with delivery times of up to 3 months and long inventory holding times once products have arrived in Niger, this creates acutely high working capital requirements for businesses. These working capital requirements will only be intensified for any businesses in Niger considering offering consumer finance in-house (such as PAYG home solar devices), which additionally incurs large outstanding consumer receivables.</w:t>
      </w:r>
    </w:p>
    <w:p w14:paraId="21C677A9" w14:textId="77777777" w:rsidR="00A615EB" w:rsidRDefault="00A615EB" w:rsidP="00A615EB">
      <w:pPr>
        <w:jc w:val="both"/>
        <w:rPr>
          <w:rFonts w:cs="Segoe UI"/>
        </w:rPr>
      </w:pPr>
      <w:r>
        <w:rPr>
          <w:rFonts w:cs="Segoe UI"/>
        </w:rPr>
        <w:t>At present, very few sources of funding exist in Niger that are able or willing to meet these needs. Most solar SMEs consulted reported being unable to access working capital from banks at sustainable terms. Though reported interest rates of around 10-15% are significantly lower than in other Sub Saharan African markets (rates charged in East and Southern Africa are frequently double this level), local banks impose severe collateral requirements – typically in excess of 150% and in some cases up to 200% – on what they perceive to be an unproven, high-risk sector</w:t>
      </w:r>
      <w:r>
        <w:rPr>
          <w:rStyle w:val="FootnoteReference"/>
          <w:rFonts w:cs="Segoe UI"/>
        </w:rPr>
        <w:footnoteReference w:id="72"/>
      </w:r>
      <w:r>
        <w:rPr>
          <w:rFonts w:cs="Segoe UI"/>
        </w:rPr>
        <w:t xml:space="preserve">. In addition, various hidden bank changes and administrative fees often increase effective interest charges significantly beyond nominal rates. For most entrepreneurs, meeting these requirements means offering real estate as collateral, which is in turn frequently undervalued by banks in the absence of reliable, independent appraisers. </w:t>
      </w:r>
    </w:p>
    <w:p w14:paraId="55E953A1" w14:textId="77777777" w:rsidR="00A615EB" w:rsidRDefault="00A615EB" w:rsidP="00A615EB">
      <w:pPr>
        <w:jc w:val="both"/>
        <w:rPr>
          <w:rFonts w:cs="Segoe UI"/>
        </w:rPr>
      </w:pPr>
      <w:r>
        <w:rPr>
          <w:rFonts w:cs="Segoe UI"/>
        </w:rPr>
        <w:t>According to our consultations, access to bank finance is somewhat easier for businesses borrowing for equipment purchases for projects with a guaranteed, institutional off-taker such as an NGO or development organization. In these cases, the purchase agreement with the institution gives the banks enough risk protection to be more willing to engage with smaller solar companies, though collateral requirements remain significant even in these cases. As a result, even businesses whose primary clients are institutional have often made deliberate efforts to avoid bank financing.</w:t>
      </w:r>
    </w:p>
    <w:p w14:paraId="733A1B08" w14:textId="77777777" w:rsidR="00A615EB" w:rsidRDefault="00A615EB" w:rsidP="00A615EB">
      <w:pPr>
        <w:jc w:val="both"/>
        <w:rPr>
          <w:rFonts w:cs="Segoe UI"/>
        </w:rPr>
      </w:pPr>
      <w:r>
        <w:rPr>
          <w:rFonts w:cs="Segoe UI"/>
        </w:rPr>
        <w:t>Access to non-bank sources of funding is equally challenging. Though Niger has attracted close to US $120 million in impact capital over the last 10 years, the overwhelming majority of this has come in the form of large debt and equity investments from international development finance institutions, with very little of this funding accessible to early-stage and growth-stage solar businesses</w:t>
      </w:r>
      <w:r>
        <w:rPr>
          <w:rStyle w:val="FootnoteReference"/>
          <w:rFonts w:cs="Segoe UI"/>
        </w:rPr>
        <w:footnoteReference w:id="73"/>
      </w:r>
      <w:r>
        <w:rPr>
          <w:rFonts w:cs="Segoe UI"/>
        </w:rPr>
        <w:t xml:space="preserve">. With debt and equity markets largely closed off, solar companies have mostly been funded through owner equity and friends and family. </w:t>
      </w:r>
    </w:p>
    <w:p w14:paraId="172BF00E" w14:textId="77777777" w:rsidR="00A615EB" w:rsidRPr="00D42702" w:rsidRDefault="00A615EB" w:rsidP="00955049">
      <w:pPr>
        <w:pStyle w:val="H4NEWreportStyle"/>
      </w:pPr>
      <w:r>
        <w:lastRenderedPageBreak/>
        <w:t>Challenge 3</w:t>
      </w:r>
      <w:r w:rsidRPr="00D42702">
        <w:t>: Low purchasing power</w:t>
      </w:r>
      <w:r>
        <w:t xml:space="preserve"> &amp; access to end-user finance</w:t>
      </w:r>
    </w:p>
    <w:p w14:paraId="0BA4FD2A" w14:textId="77777777" w:rsidR="00A615EB" w:rsidRDefault="00A615EB" w:rsidP="00A615EB">
      <w:pPr>
        <w:jc w:val="both"/>
        <w:rPr>
          <w:rFonts w:cs="Segoe UI"/>
        </w:rPr>
      </w:pPr>
      <w:r>
        <w:rPr>
          <w:rFonts w:cs="Segoe UI"/>
        </w:rPr>
        <w:t>Niger remains one of the poorest countries in the world and though the need for efficient solar power solutions is high, purchasing power for solar products of all varieties among end-consumers is low. Lack of perceived ability to pay is a significant factor in businesses’ decision to only serve institutional clients, as discussed above. U</w:t>
      </w:r>
      <w:r w:rsidRPr="004A51FA">
        <w:rPr>
          <w:rFonts w:cs="Segoe UI"/>
        </w:rPr>
        <w:t>nanimously</w:t>
      </w:r>
      <w:r>
        <w:rPr>
          <w:rFonts w:cs="Segoe UI"/>
        </w:rPr>
        <w:t xml:space="preserve"> across all consultations we heard that to unlock end-consumer markets for solar devices in the near-term – whether for household systems or for agricultural use – would require some sort of end-consumer finance. Our market analysis chapter confirms this, showing an annualized market for household systems of US $45 million in the presence of consumer finance, and around US $7 million in its absence. This was confirmed through our focus groups, in which lacking purchasing power was named together with bad quality products and lacking availability as key reasons for not owning solar lighting solutions.</w:t>
      </w:r>
    </w:p>
    <w:p w14:paraId="5390F0F3" w14:textId="77777777" w:rsidR="00A615EB" w:rsidRDefault="00A615EB" w:rsidP="00A615EB">
      <w:pPr>
        <w:jc w:val="both"/>
        <w:rPr>
          <w:rFonts w:cs="Segoe UI"/>
        </w:rPr>
      </w:pPr>
      <w:r>
        <w:rPr>
          <w:rFonts w:cs="Segoe UI"/>
        </w:rPr>
        <w:t>Consumer finance provision has been hampered by low levels of financial awareness and financial inclusion. Only an estimated 3% of Nigeriens hold an account at a financial institution, and only about 1.5% are active mobile money users – among the lowest levels in Sub Saharan Africa</w:t>
      </w:r>
      <w:r>
        <w:rPr>
          <w:rStyle w:val="FootnoteReference"/>
          <w:rFonts w:cs="Segoe UI"/>
        </w:rPr>
        <w:footnoteReference w:id="74"/>
      </w:r>
      <w:r>
        <w:rPr>
          <w:rFonts w:cs="Segoe UI"/>
        </w:rPr>
        <w:t xml:space="preserve">. Though household dynamics are likely a factor in these low numbers as one adult will typically manage all financial matters in a large household, there is still additional need for broader financial inclusion and financial literacy initiatives to ensuring sufficient availability of credit. </w:t>
      </w:r>
    </w:p>
    <w:p w14:paraId="48D463E9" w14:textId="719B5F05" w:rsidR="00FE7913" w:rsidRDefault="00A615EB" w:rsidP="00A615EB">
      <w:pPr>
        <w:jc w:val="both"/>
        <w:rPr>
          <w:rFonts w:cs="Segoe UI"/>
        </w:rPr>
      </w:pPr>
      <w:r>
        <w:rPr>
          <w:rFonts w:cs="Segoe UI"/>
        </w:rPr>
        <w:t>At the same time, Niger boasts an active and promising MFI sector. MFI account holders, though still small as an overall percentage of the overall population, outnumber bank account holders by over 60% (~720,000 vs 440,000</w:t>
      </w:r>
      <w:r w:rsidRPr="00A97D16">
        <w:rPr>
          <w:rFonts w:cs="Segoe UI"/>
        </w:rPr>
        <w:t>)</w:t>
      </w:r>
      <w:r w:rsidRPr="00A97D16">
        <w:rPr>
          <w:rStyle w:val="FootnoteReference"/>
          <w:rFonts w:cs="Segoe UI"/>
        </w:rPr>
        <w:footnoteReference w:id="75"/>
      </w:r>
      <w:r w:rsidRPr="00A97D16">
        <w:rPr>
          <w:rFonts w:cs="Segoe UI"/>
        </w:rPr>
        <w:t>.</w:t>
      </w:r>
      <w:r>
        <w:rPr>
          <w:rFonts w:cs="Segoe UI"/>
        </w:rPr>
        <w:t xml:space="preserve"> T</w:t>
      </w:r>
      <w:r w:rsidRPr="00A97D16">
        <w:rPr>
          <w:rFonts w:cs="Segoe UI"/>
        </w:rPr>
        <w:t>his sector is dominated by one provider, ASUSU, with 52 agencies serving some 650,000 clients (both active and inactive), around 80% of whom are estimated to be in rural areas</w:t>
      </w:r>
      <w:r w:rsidRPr="00A97D16">
        <w:rPr>
          <w:rStyle w:val="FootnoteReference"/>
          <w:rFonts w:cs="Segoe UI"/>
        </w:rPr>
        <w:footnoteReference w:id="76"/>
      </w:r>
      <w:r w:rsidRPr="00A97D16">
        <w:rPr>
          <w:rFonts w:cs="Segoe UI"/>
        </w:rPr>
        <w:t>.</w:t>
      </w:r>
      <w:r>
        <w:rPr>
          <w:rFonts w:cs="Segoe UI"/>
        </w:rPr>
        <w:t xml:space="preserve"> Despite this potential, MFIs have been hesitant to engage more broadly with the solar sector to date, and previous attempts to do so have been met with limited success (see supply side landscape section above). Several other businesses consulted expressed concern that the tenor and size of typical ASUSU loan products (~USD 80 over 6 months on average) were not well-suited for financing solar equipment beyond basic lanterns and home systems.</w:t>
      </w:r>
      <w:r w:rsidR="001A5F72">
        <w:rPr>
          <w:rFonts w:cs="Segoe UI"/>
        </w:rPr>
        <w:t xml:space="preserve"> </w:t>
      </w:r>
      <w:r w:rsidR="00FE7913">
        <w:rPr>
          <w:rFonts w:cs="Segoe UI"/>
        </w:rPr>
        <w:t>Consultations further revealed that high c</w:t>
      </w:r>
      <w:r w:rsidR="00FE7913" w:rsidRPr="00FE7913">
        <w:rPr>
          <w:rFonts w:cs="Segoe UI"/>
        </w:rPr>
        <w:t>ollateral requirements</w:t>
      </w:r>
      <w:r w:rsidR="00FE7913">
        <w:rPr>
          <w:rFonts w:cs="Segoe UI"/>
        </w:rPr>
        <w:t xml:space="preserve"> often limit accessibility of microfinance services, especially as financial service providers </w:t>
      </w:r>
      <w:r w:rsidR="00FE7913" w:rsidRPr="00FE7913">
        <w:rPr>
          <w:rFonts w:cs="Segoe UI"/>
        </w:rPr>
        <w:t>are unwilling to accept traditional land that lacks formal documentation as such</w:t>
      </w:r>
      <w:r w:rsidR="00FE7913">
        <w:rPr>
          <w:rFonts w:cs="Segoe UI"/>
        </w:rPr>
        <w:t>.</w:t>
      </w:r>
    </w:p>
    <w:p w14:paraId="7AC92C08" w14:textId="77777777" w:rsidR="00A615EB" w:rsidRDefault="00A615EB" w:rsidP="00A615EB">
      <w:pPr>
        <w:jc w:val="both"/>
        <w:rPr>
          <w:rFonts w:cs="Segoe UI"/>
        </w:rPr>
      </w:pPr>
      <w:r>
        <w:rPr>
          <w:rFonts w:cs="Segoe UI"/>
        </w:rPr>
        <w:t xml:space="preserve">In addition, anecdotal evidence from consultations suggested that negative cultural attitudes to debt were another challenge, particularly for loans that did not demonstrate immediate, visible economic returns such as livestock and other productive assets. Demand for credit for solar products may therefore be low in the absence of consumer awareness campaigns to demonstrate the economic benefits of solar technology. </w:t>
      </w:r>
    </w:p>
    <w:p w14:paraId="12AB2B37" w14:textId="77777777" w:rsidR="00A615EB" w:rsidRPr="00D42702" w:rsidRDefault="00A615EB" w:rsidP="00955049">
      <w:pPr>
        <w:pStyle w:val="H4NEWreportStyle"/>
      </w:pPr>
      <w:r>
        <w:t>Challenge 4</w:t>
      </w:r>
      <w:r w:rsidRPr="00062A72">
        <w:t xml:space="preserve">: Lack of </w:t>
      </w:r>
      <w:r>
        <w:t>partners for distribution &amp; maintenance</w:t>
      </w:r>
    </w:p>
    <w:p w14:paraId="4BA59DA5" w14:textId="77777777" w:rsidR="00A615EB" w:rsidRDefault="00A615EB" w:rsidP="00A615EB">
      <w:pPr>
        <w:jc w:val="both"/>
        <w:rPr>
          <w:rFonts w:cs="Segoe UI"/>
        </w:rPr>
      </w:pPr>
      <w:r>
        <w:rPr>
          <w:rFonts w:cs="Segoe UI"/>
        </w:rPr>
        <w:lastRenderedPageBreak/>
        <w:t xml:space="preserve">As shown in the table above, very few solar businesses in Niger currently perform or are planning to perform end-user distribution. One-off projects for institutional clients have made up the bulk of solar market activity to date, and plans to diversify into more scalable business models are very early stage at best. In addition, consultations suggest that there are very few established last mile distribution networks, even in non-solar sectors. Sectors that in other markets often have deep local distribution networks and offer high-potential partnership opportunities for solar operators – agricultural inputs or consumer electronics distributors, for example – are fragmented in Niger or have limited reach outside Niamey and its periphery. The major MNOs, despite having broad national reach, operate predominantly through fragmented agent networks with limited working capital to purchase solar devices, and MNOs expressed reluctance to finance inventories themselves. As such, both local and international solar companies seeking to reach end-users in Niger will likely need to invest considerably in developing and maintaining sales and distribution channels. </w:t>
      </w:r>
    </w:p>
    <w:p w14:paraId="2B9D936A" w14:textId="77777777" w:rsidR="00A615EB" w:rsidRPr="00470CE7" w:rsidRDefault="00A615EB" w:rsidP="00A615EB">
      <w:pPr>
        <w:jc w:val="both"/>
      </w:pPr>
      <w:r>
        <w:t xml:space="preserve">The lack of distribution partners is paralleled by an equally important lack of qualified technicians and partners for installation, service and maintenance. Even at the small scale of the current solar market in Niger, solar businesses noted an acute shortage of competent technical personnel to maintain installations and respond to service events. In many cases, technical directors or company directors were personally required to drive to remote sites themselves to attend to repairs. This problem will only be exacerbated once businesses attempt to scale end-user distribution, and further reduces the number of attractive distribution partners if distributors are also to provide basic front-line servicing. </w:t>
      </w:r>
      <w:r w:rsidRPr="00470CE7">
        <w:rPr>
          <w:rFonts w:cs="Segoe UI"/>
        </w:rPr>
        <w:t xml:space="preserve"> </w:t>
      </w:r>
    </w:p>
    <w:p w14:paraId="0F7B2A31" w14:textId="77777777" w:rsidR="00DC7AD6" w:rsidRDefault="00DC7AD6" w:rsidP="00955049">
      <w:pPr>
        <w:pStyle w:val="H4NEWreportStyle"/>
      </w:pPr>
    </w:p>
    <w:p w14:paraId="572D267E" w14:textId="73B2051D" w:rsidR="00A615EB" w:rsidRPr="00062A72" w:rsidRDefault="00A615EB" w:rsidP="00955049">
      <w:pPr>
        <w:pStyle w:val="H4NEWreportStyle"/>
      </w:pPr>
      <w:r w:rsidRPr="00062A72">
        <w:t>C</w:t>
      </w:r>
      <w:r>
        <w:t>hallenge 5</w:t>
      </w:r>
      <w:r w:rsidRPr="00062A72">
        <w:t xml:space="preserve">: </w:t>
      </w:r>
      <w:r>
        <w:t>Informal sector competition &amp; market spoilage</w:t>
      </w:r>
    </w:p>
    <w:p w14:paraId="7A2A9992" w14:textId="1AA280E6" w:rsidR="00A615EB" w:rsidRDefault="00A615EB" w:rsidP="00A615EB">
      <w:pPr>
        <w:jc w:val="both"/>
        <w:rPr>
          <w:rFonts w:cs="Segoe UI"/>
        </w:rPr>
      </w:pPr>
      <w:r>
        <w:rPr>
          <w:rFonts w:cs="Segoe UI"/>
        </w:rPr>
        <w:t xml:space="preserve">As mentioned previously, several informal entrepreneurs have taken advantage of high import duties by illegal importing low-quality solar products ranging from solar lanterns to larger home installations. This has hurt the solar market in two ways. </w:t>
      </w:r>
      <w:r w:rsidRPr="008B21FB">
        <w:rPr>
          <w:rFonts w:cs="Segoe UI"/>
        </w:rPr>
        <w:t xml:space="preserve">First, black-market traders are able to significantly undercut </w:t>
      </w:r>
      <w:r w:rsidR="008B21FB" w:rsidRPr="008B21FB">
        <w:rPr>
          <w:rFonts w:cs="Segoe UI"/>
        </w:rPr>
        <w:t xml:space="preserve">the prices of </w:t>
      </w:r>
      <w:r w:rsidRPr="008B21FB">
        <w:rPr>
          <w:rFonts w:cs="Segoe UI"/>
        </w:rPr>
        <w:t xml:space="preserve">registered businesses who are still subject to </w:t>
      </w:r>
      <w:r w:rsidR="00D54BB4" w:rsidRPr="008B21FB">
        <w:rPr>
          <w:rFonts w:cs="Segoe UI"/>
        </w:rPr>
        <w:t xml:space="preserve">high taxes and </w:t>
      </w:r>
      <w:r w:rsidRPr="008B21FB">
        <w:rPr>
          <w:rFonts w:cs="Segoe UI"/>
        </w:rPr>
        <w:t>import</w:t>
      </w:r>
      <w:r w:rsidR="00D54BB4" w:rsidRPr="008B21FB">
        <w:rPr>
          <w:rFonts w:cs="Segoe UI"/>
        </w:rPr>
        <w:t xml:space="preserve"> dutie</w:t>
      </w:r>
      <w:r w:rsidRPr="008B21FB">
        <w:rPr>
          <w:rFonts w:cs="Segoe UI"/>
        </w:rPr>
        <w:t>s.</w:t>
      </w:r>
      <w:r>
        <w:rPr>
          <w:rFonts w:cs="Segoe UI"/>
        </w:rPr>
        <w:t xml:space="preserve"> Second, these products are largely low-grade, failure-prone knock-offs that often have a lifespan of little more than a few weeks, which has exacerbated low levels of initial consumer awareness around solar technology by damaging perceptions of solar’s durability and reliability. Sensitizing consumers to the benefits of higher-quality products will therefore require significant investment in consumer awareness, a cost which few businesses are likely to want to incur on their own as first-movers. </w:t>
      </w:r>
    </w:p>
    <w:p w14:paraId="4F526229" w14:textId="77777777" w:rsidR="00A615EB" w:rsidRPr="00062A72" w:rsidRDefault="00A615EB" w:rsidP="00955049">
      <w:pPr>
        <w:pStyle w:val="H4NEWreportStyle"/>
      </w:pPr>
      <w:r>
        <w:t xml:space="preserve">Challenge 6: </w:t>
      </w:r>
      <w:r w:rsidRPr="00062A72">
        <w:t xml:space="preserve">Low mobile money penetration </w:t>
      </w:r>
    </w:p>
    <w:p w14:paraId="268C9CEE" w14:textId="77777777" w:rsidR="00A615EB" w:rsidRDefault="00A615EB" w:rsidP="00A615EB">
      <w:pPr>
        <w:jc w:val="both"/>
        <w:rPr>
          <w:rFonts w:cs="Segoe UI"/>
        </w:rPr>
      </w:pPr>
      <w:r>
        <w:rPr>
          <w:rFonts w:cs="Segoe UI"/>
        </w:rPr>
        <w:t>Mobile money has been instrumental in scaling solar technology in other Sub Saharan African markets, particularly for non-</w:t>
      </w:r>
      <w:r w:rsidRPr="00F17B0A">
        <w:rPr>
          <w:rFonts w:cs="Segoe UI"/>
        </w:rPr>
        <w:t xml:space="preserve">institutional end-consumers of devices such as pay-as-you-go solar home systems. At present, however, only around </w:t>
      </w:r>
      <w:r>
        <w:rPr>
          <w:rFonts w:cs="Segoe UI"/>
        </w:rPr>
        <w:t>7</w:t>
      </w:r>
      <w:r w:rsidRPr="00F17B0A">
        <w:rPr>
          <w:rFonts w:cs="Segoe UI"/>
        </w:rPr>
        <w:t xml:space="preserve">% of Nigeriens </w:t>
      </w:r>
      <w:r>
        <w:rPr>
          <w:rFonts w:cs="Segoe UI"/>
        </w:rPr>
        <w:t xml:space="preserve">subscribe to </w:t>
      </w:r>
      <w:r w:rsidRPr="00F17B0A">
        <w:rPr>
          <w:rFonts w:cs="Segoe UI"/>
        </w:rPr>
        <w:t>mobile money</w:t>
      </w:r>
      <w:r>
        <w:rPr>
          <w:rFonts w:cs="Segoe UI"/>
        </w:rPr>
        <w:t xml:space="preserve"> services, </w:t>
      </w:r>
      <w:r w:rsidRPr="00F17B0A">
        <w:rPr>
          <w:rFonts w:cs="Segoe UI"/>
        </w:rPr>
        <w:t xml:space="preserve">and based on consultations with MNOs only around </w:t>
      </w:r>
      <w:r>
        <w:rPr>
          <w:rFonts w:cs="Segoe UI"/>
        </w:rPr>
        <w:t>1.5</w:t>
      </w:r>
      <w:r w:rsidRPr="00F17B0A">
        <w:rPr>
          <w:rFonts w:cs="Segoe UI"/>
        </w:rPr>
        <w:t>% are active users. Given Niger’s large unbanked population, mobile money could enable solar distributors</w:t>
      </w:r>
      <w:r>
        <w:rPr>
          <w:rFonts w:cs="Segoe UI"/>
        </w:rPr>
        <w:t xml:space="preserve"> to reach end-users through direct consumer finance, </w:t>
      </w:r>
      <w:r>
        <w:rPr>
          <w:rFonts w:cs="Segoe UI"/>
        </w:rPr>
        <w:lastRenderedPageBreak/>
        <w:t xml:space="preserve">enabling scale beyond current MFI client bases and avoiding potentially cumbersome partnerships with financial institutions on sales and distribution. In addition, mobile money – whether used by an MFI or directly by a solar distributor – can significantly reduce consumer finance transaction costs compared to typical high-touch MFI models that incur significant administrative costs in client screening, selection, monitoring, and collection. In the absence of even a rudimentary end-user solar market this is likely a secondary challenge, but increased access to and usage of mobile money could be important to scaling access beyond the capabilities and appetites of a small number of MFIs in the longer term. </w:t>
      </w:r>
    </w:p>
    <w:p w14:paraId="33FA7015" w14:textId="438BCF98" w:rsidR="00951CE6" w:rsidRDefault="00951CE6" w:rsidP="00951CE6">
      <w:pPr>
        <w:jc w:val="both"/>
        <w:rPr>
          <w:rFonts w:cs="Segoe UI"/>
        </w:rPr>
      </w:pPr>
    </w:p>
    <w:p w14:paraId="71B282AC" w14:textId="258D90A4" w:rsidR="0059287E" w:rsidRDefault="0033230C">
      <w:pPr>
        <w:rPr>
          <w:rFonts w:eastAsiaTheme="majorEastAsia" w:cs="Segoe UI"/>
          <w:b/>
          <w:bCs/>
          <w:color w:val="407A82" w:themeColor="accent1" w:themeShade="80"/>
          <w:sz w:val="28"/>
          <w:szCs w:val="28"/>
        </w:rPr>
      </w:pPr>
      <w:bookmarkStart w:id="167" w:name="_Ref476125390"/>
      <w:r>
        <w:br w:type="page"/>
      </w:r>
      <w:bookmarkStart w:id="168" w:name="_Ref476125592"/>
      <w:bookmarkEnd w:id="167"/>
    </w:p>
    <w:p w14:paraId="67BD6B4C" w14:textId="263245F5" w:rsidR="00BF1E1C" w:rsidRPr="00955049" w:rsidRDefault="00BF1E1C" w:rsidP="00955049">
      <w:pPr>
        <w:pStyle w:val="H1NEWreportStyle"/>
      </w:pPr>
      <w:bookmarkStart w:id="169" w:name="_Toc501097049"/>
      <w:r w:rsidRPr="00955049">
        <w:lastRenderedPageBreak/>
        <w:t>Recommended market interventions</w:t>
      </w:r>
      <w:r w:rsidR="0037374F" w:rsidRPr="00955049">
        <w:t xml:space="preserve"> for stand-alone solar systems</w:t>
      </w:r>
      <w:bookmarkEnd w:id="168"/>
      <w:bookmarkEnd w:id="169"/>
    </w:p>
    <w:p w14:paraId="02D97C40" w14:textId="77777777" w:rsidR="00EB0D40" w:rsidRDefault="00EB0D40" w:rsidP="00EB0D40">
      <w:pPr>
        <w:jc w:val="both"/>
        <w:rPr>
          <w:rFonts w:cs="Segoe UI"/>
        </w:rPr>
      </w:pPr>
      <w:r>
        <w:rPr>
          <w:rFonts w:cs="Segoe UI"/>
        </w:rPr>
        <w:t>As discussed in the previous chapter, consultations with solar technology distributors in Niger identified a range of key challenges and barriers to growth for private sector players, including:</w:t>
      </w:r>
    </w:p>
    <w:p w14:paraId="6C8061F6" w14:textId="121E28AD" w:rsidR="00EB0D40" w:rsidRPr="00876303" w:rsidRDefault="00EB0D40" w:rsidP="006A7E1D">
      <w:pPr>
        <w:pStyle w:val="ListParagraph"/>
        <w:numPr>
          <w:ilvl w:val="0"/>
          <w:numId w:val="9"/>
        </w:numPr>
        <w:jc w:val="both"/>
        <w:rPr>
          <w:rFonts w:cs="Segoe UI"/>
        </w:rPr>
      </w:pPr>
      <w:r w:rsidRPr="00876303">
        <w:rPr>
          <w:rFonts w:cs="Segoe UI"/>
        </w:rPr>
        <w:t xml:space="preserve">High import duties on </w:t>
      </w:r>
      <w:r w:rsidR="00876303">
        <w:rPr>
          <w:rFonts w:cs="Segoe UI"/>
        </w:rPr>
        <w:t>solar products</w:t>
      </w:r>
    </w:p>
    <w:p w14:paraId="143B1BD9" w14:textId="77777777" w:rsidR="00EB0D40" w:rsidRDefault="00EB0D40" w:rsidP="006A7E1D">
      <w:pPr>
        <w:pStyle w:val="ListParagraph"/>
        <w:numPr>
          <w:ilvl w:val="0"/>
          <w:numId w:val="9"/>
        </w:numPr>
        <w:jc w:val="both"/>
        <w:rPr>
          <w:rFonts w:cs="Segoe UI"/>
        </w:rPr>
      </w:pPr>
      <w:r>
        <w:rPr>
          <w:rFonts w:cs="Segoe UI"/>
        </w:rPr>
        <w:t>Low end-user purchasing power</w:t>
      </w:r>
    </w:p>
    <w:p w14:paraId="3AA81997" w14:textId="77777777" w:rsidR="00EB0D40" w:rsidRDefault="00EB0D40" w:rsidP="006A7E1D">
      <w:pPr>
        <w:pStyle w:val="ListParagraph"/>
        <w:numPr>
          <w:ilvl w:val="0"/>
          <w:numId w:val="9"/>
        </w:numPr>
        <w:jc w:val="both"/>
        <w:rPr>
          <w:rFonts w:cs="Segoe UI"/>
        </w:rPr>
      </w:pPr>
      <w:r>
        <w:rPr>
          <w:rFonts w:cs="Segoe UI"/>
        </w:rPr>
        <w:t>Limited access to finance for both business and consumers</w:t>
      </w:r>
    </w:p>
    <w:p w14:paraId="5DEA93D0" w14:textId="4D32B7EE" w:rsidR="00EB0D40" w:rsidRDefault="00EB0D40" w:rsidP="006A7E1D">
      <w:pPr>
        <w:pStyle w:val="ListParagraph"/>
        <w:numPr>
          <w:ilvl w:val="0"/>
          <w:numId w:val="9"/>
        </w:numPr>
        <w:jc w:val="both"/>
        <w:rPr>
          <w:rFonts w:cs="Segoe UI"/>
        </w:rPr>
      </w:pPr>
      <w:r>
        <w:rPr>
          <w:rFonts w:cs="Segoe UI"/>
        </w:rPr>
        <w:t>Lack of formal distribution channels to reach peri-urban</w:t>
      </w:r>
      <w:r w:rsidR="009700BE">
        <w:rPr>
          <w:rFonts w:cs="Segoe UI"/>
        </w:rPr>
        <w:t xml:space="preserve"> and rural off-grid populations</w:t>
      </w:r>
    </w:p>
    <w:p w14:paraId="0B358A3A" w14:textId="77777777" w:rsidR="00EB0D40" w:rsidRPr="000E5F22" w:rsidRDefault="00EB0D40" w:rsidP="006A7E1D">
      <w:pPr>
        <w:pStyle w:val="ListParagraph"/>
        <w:numPr>
          <w:ilvl w:val="0"/>
          <w:numId w:val="9"/>
        </w:numPr>
        <w:jc w:val="both"/>
        <w:rPr>
          <w:rFonts w:cs="Segoe UI"/>
        </w:rPr>
      </w:pPr>
      <w:r>
        <w:rPr>
          <w:rFonts w:cs="Segoe UI"/>
        </w:rPr>
        <w:t>Market spoilage due to inflows of low-grade imitation products</w:t>
      </w:r>
    </w:p>
    <w:p w14:paraId="2004899F" w14:textId="1424F851" w:rsidR="00EB0D40" w:rsidRDefault="00EB0D40" w:rsidP="00EB0D40">
      <w:pPr>
        <w:jc w:val="both"/>
        <w:rPr>
          <w:rFonts w:cs="Segoe UI"/>
        </w:rPr>
      </w:pPr>
      <w:r>
        <w:rPr>
          <w:rFonts w:cs="Segoe UI"/>
        </w:rPr>
        <w:t xml:space="preserve">Further, our consultations with businesses in the solar market revealed that most businesses provide one-off project services. </w:t>
      </w:r>
      <w:r w:rsidR="00FE6637">
        <w:rPr>
          <w:rFonts w:cs="Segoe UI"/>
        </w:rPr>
        <w:t>Thus,</w:t>
      </w:r>
      <w:r>
        <w:rPr>
          <w:rFonts w:cs="Segoe UI"/>
        </w:rPr>
        <w:t xml:space="preserve"> there are currently no suppliers of Lighting Africa-approved solar home systems in the market, and Lighting Africa-approved solar lanterns are only distributed through Total’s petrol station network (‘Total Awango program’). Apart from Total, all other active solar businesses are focused on public and development sector contract work. </w:t>
      </w:r>
    </w:p>
    <w:p w14:paraId="6920553A" w14:textId="77777777" w:rsidR="00EB0D40" w:rsidRDefault="00EB0D40" w:rsidP="00EB0D40">
      <w:pPr>
        <w:jc w:val="both"/>
        <w:rPr>
          <w:rFonts w:cs="Segoe UI"/>
        </w:rPr>
      </w:pPr>
      <w:r>
        <w:rPr>
          <w:rFonts w:cs="Segoe UI"/>
        </w:rPr>
        <w:t xml:space="preserve">International solar companies are unlikely to enter Niger in the near future. These players currently consider other markets more attractive, based on considerations such as regulatory environment, size of addressable market, as well as availability of partnerships for sales and distribution (including MNOs). As a result, scaling solar in Niger will likely need to be a home-grown effort in the short term, with sales, distribution, and end-consumer service channels set up by local businesses. </w:t>
      </w:r>
    </w:p>
    <w:p w14:paraId="18728251" w14:textId="3E3A24F5" w:rsidR="00EB0D40" w:rsidRDefault="00EB0D40" w:rsidP="00EB0D40">
      <w:pPr>
        <w:jc w:val="both"/>
        <w:rPr>
          <w:rFonts w:cs="Segoe UI"/>
        </w:rPr>
      </w:pPr>
      <w:r>
        <w:rPr>
          <w:rFonts w:cs="Segoe UI"/>
        </w:rPr>
        <w:t xml:space="preserve">Based on this assessment of the Nigerien market, we believe significant government and development sector support for the solar market will be required to accelerate private sector growth. At present, neither the supply side, the financial sector, nor end-consumers appear ready to drive solar market growth in the absence of significant intervention. In particular, we recommend focusing interventions </w:t>
      </w:r>
      <w:r w:rsidR="00716464">
        <w:rPr>
          <w:rFonts w:cs="Segoe UI"/>
        </w:rPr>
        <w:t xml:space="preserve">on </w:t>
      </w:r>
      <w:r w:rsidR="00BC5D64">
        <w:rPr>
          <w:rFonts w:cs="Segoe UI"/>
        </w:rPr>
        <w:t xml:space="preserve">market stimulation for </w:t>
      </w:r>
      <w:r w:rsidR="00716464">
        <w:rPr>
          <w:rFonts w:cs="Segoe UI"/>
        </w:rPr>
        <w:t xml:space="preserve">smaller </w:t>
      </w:r>
      <w:r>
        <w:rPr>
          <w:rFonts w:cs="Segoe UI"/>
        </w:rPr>
        <w:t>household</w:t>
      </w:r>
      <w:r w:rsidR="00716464">
        <w:rPr>
          <w:rFonts w:cs="Segoe UI"/>
        </w:rPr>
        <w:t xml:space="preserve"> systems</w:t>
      </w:r>
      <w:r w:rsidR="00BC5D64">
        <w:rPr>
          <w:rFonts w:cs="Segoe UI"/>
        </w:rPr>
        <w:t xml:space="preserve"> and solar pumping kits. </w:t>
      </w:r>
      <w:r>
        <w:rPr>
          <w:rFonts w:cs="Segoe UI"/>
        </w:rPr>
        <w:t xml:space="preserve">Solar businesses serving institutional clients and large corporates are generally able to secure project financing from banks, and these sectors are mostly based on discrete tenders and contracts that are less suitable for rapid, market-led growth initiatives. Furthermore, businesses serving institutional clients will likely enjoy collateral benefits from systemic interventions aimed at unlocking household and irrigation markets. </w:t>
      </w:r>
    </w:p>
    <w:p w14:paraId="7BFE14A5" w14:textId="7568ED82" w:rsidR="00EB0D40" w:rsidRDefault="00583EF3" w:rsidP="00EB0D40">
      <w:pPr>
        <w:jc w:val="both"/>
        <w:rPr>
          <w:rFonts w:cs="Segoe UI"/>
        </w:rPr>
      </w:pPr>
      <w:r>
        <w:rPr>
          <w:rFonts w:cs="Segoe UI"/>
        </w:rPr>
        <w:fldChar w:fldCharType="begin"/>
      </w:r>
      <w:r>
        <w:rPr>
          <w:rFonts w:cs="Segoe UI"/>
        </w:rPr>
        <w:instrText xml:space="preserve"> REF _Ref494314839 \h </w:instrText>
      </w:r>
      <w:r>
        <w:rPr>
          <w:rFonts w:cs="Segoe UI"/>
        </w:rPr>
      </w:r>
      <w:r>
        <w:rPr>
          <w:rFonts w:cs="Segoe UI"/>
        </w:rPr>
        <w:fldChar w:fldCharType="separate"/>
      </w:r>
      <w:r w:rsidR="000D1C35">
        <w:t xml:space="preserve">Table </w:t>
      </w:r>
      <w:r w:rsidR="000D1C35">
        <w:rPr>
          <w:noProof/>
        </w:rPr>
        <w:t>28</w:t>
      </w:r>
      <w:r>
        <w:rPr>
          <w:rFonts w:cs="Segoe UI"/>
        </w:rPr>
        <w:fldChar w:fldCharType="end"/>
      </w:r>
      <w:r w:rsidR="00EB0D40">
        <w:rPr>
          <w:rFonts w:cs="Segoe UI"/>
        </w:rPr>
        <w:t xml:space="preserve"> summarizes our recommendations: </w:t>
      </w:r>
    </w:p>
    <w:p w14:paraId="098CDCAD" w14:textId="76D41415" w:rsidR="00F22A54" w:rsidRDefault="00F22A54" w:rsidP="00F22A54">
      <w:pPr>
        <w:pStyle w:val="Caption"/>
      </w:pPr>
      <w:bookmarkStart w:id="170" w:name="_Ref494314839"/>
      <w:bookmarkStart w:id="171" w:name="_Toc500969392"/>
      <w:r>
        <w:t xml:space="preserve">Table </w:t>
      </w:r>
      <w:fldSimple w:instr=" SEQ Table \* ARABIC ">
        <w:r w:rsidR="000D1C35">
          <w:rPr>
            <w:noProof/>
          </w:rPr>
          <w:t>28</w:t>
        </w:r>
      </w:fldSimple>
      <w:bookmarkEnd w:id="170"/>
      <w:r>
        <w:t xml:space="preserve">: </w:t>
      </w:r>
      <w:r w:rsidRPr="00F22A54">
        <w:t>Recommended interventions for standalone solar systems</w:t>
      </w:r>
      <w:bookmarkEnd w:id="171"/>
    </w:p>
    <w:tbl>
      <w:tblPr>
        <w:tblStyle w:val="GridTable6Colorful"/>
        <w:tblW w:w="0" w:type="auto"/>
        <w:tblCellMar>
          <w:top w:w="58" w:type="dxa"/>
          <w:left w:w="144" w:type="dxa"/>
          <w:bottom w:w="58" w:type="dxa"/>
          <w:right w:w="144" w:type="dxa"/>
        </w:tblCellMar>
        <w:tblLook w:val="04A0" w:firstRow="1" w:lastRow="0" w:firstColumn="1" w:lastColumn="0" w:noHBand="0" w:noVBand="1"/>
      </w:tblPr>
      <w:tblGrid>
        <w:gridCol w:w="1795"/>
        <w:gridCol w:w="3777"/>
        <w:gridCol w:w="3778"/>
      </w:tblGrid>
      <w:tr w:rsidR="00EB0D40" w:rsidRPr="00EC0016" w14:paraId="03FC0FED" w14:textId="77777777" w:rsidTr="009702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tcPr>
          <w:p w14:paraId="6BE40BC7" w14:textId="77777777" w:rsidR="00EB0D40" w:rsidRPr="00EC0016" w:rsidRDefault="00EB0D40" w:rsidP="0097025C">
            <w:pPr>
              <w:rPr>
                <w:sz w:val="18"/>
                <w:szCs w:val="18"/>
              </w:rPr>
            </w:pPr>
            <w:r>
              <w:rPr>
                <w:sz w:val="18"/>
                <w:szCs w:val="18"/>
              </w:rPr>
              <w:t>Intervention</w:t>
            </w:r>
          </w:p>
        </w:tc>
        <w:tc>
          <w:tcPr>
            <w:tcW w:w="3777" w:type="dxa"/>
          </w:tcPr>
          <w:p w14:paraId="26A4B241" w14:textId="77777777" w:rsidR="00EB0D40" w:rsidRPr="00EC0016" w:rsidRDefault="00EB0D40" w:rsidP="0097025C">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Description</w:t>
            </w:r>
          </w:p>
        </w:tc>
        <w:tc>
          <w:tcPr>
            <w:tcW w:w="3778" w:type="dxa"/>
          </w:tcPr>
          <w:p w14:paraId="17571CE4" w14:textId="77777777" w:rsidR="00EB0D40" w:rsidRPr="00EC0016" w:rsidRDefault="00EB0D40" w:rsidP="0097025C">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Rationale (in short)</w:t>
            </w:r>
          </w:p>
        </w:tc>
      </w:tr>
      <w:tr w:rsidR="00EB0D40" w:rsidRPr="00EC0016" w14:paraId="7B1D330D" w14:textId="77777777" w:rsidTr="0097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7FBBA4E" w14:textId="77777777" w:rsidR="00EB0D40" w:rsidRPr="00542C2C" w:rsidRDefault="00EB0D40" w:rsidP="0097025C">
            <w:pPr>
              <w:spacing w:after="60"/>
              <w:rPr>
                <w:sz w:val="18"/>
                <w:szCs w:val="18"/>
              </w:rPr>
            </w:pPr>
            <w:r w:rsidRPr="00542C2C">
              <w:rPr>
                <w:sz w:val="18"/>
                <w:szCs w:val="18"/>
              </w:rPr>
              <w:t>Tax exemptions on solar technology</w:t>
            </w:r>
          </w:p>
        </w:tc>
        <w:tc>
          <w:tcPr>
            <w:tcW w:w="3777" w:type="dxa"/>
          </w:tcPr>
          <w:p w14:paraId="0F273FEB" w14:textId="553A8638" w:rsidR="00EB0D40" w:rsidRPr="00542C2C"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542C2C">
              <w:rPr>
                <w:sz w:val="18"/>
                <w:szCs w:val="18"/>
              </w:rPr>
              <w:t>Make solar products exempt from</w:t>
            </w:r>
            <w:r w:rsidR="00D54BB4" w:rsidRPr="00542C2C">
              <w:rPr>
                <w:sz w:val="18"/>
                <w:szCs w:val="18"/>
              </w:rPr>
              <w:t xml:space="preserve"> VAT and </w:t>
            </w:r>
            <w:r w:rsidRPr="00542C2C">
              <w:rPr>
                <w:sz w:val="18"/>
                <w:szCs w:val="18"/>
              </w:rPr>
              <w:t xml:space="preserve">import duties </w:t>
            </w:r>
          </w:p>
        </w:tc>
        <w:tc>
          <w:tcPr>
            <w:tcW w:w="3778" w:type="dxa"/>
          </w:tcPr>
          <w:p w14:paraId="6FCBDE54" w14:textId="4A3B3885" w:rsidR="00EB0D40" w:rsidRPr="00CD715F"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542C2C">
              <w:rPr>
                <w:sz w:val="18"/>
                <w:szCs w:val="18"/>
              </w:rPr>
              <w:t xml:space="preserve">Currently costs to solar companies are artificially inflated by </w:t>
            </w:r>
            <w:r w:rsidR="00D54BB4" w:rsidRPr="00542C2C">
              <w:rPr>
                <w:sz w:val="18"/>
                <w:szCs w:val="18"/>
              </w:rPr>
              <w:t xml:space="preserve">high </w:t>
            </w:r>
            <w:r w:rsidRPr="00542C2C">
              <w:rPr>
                <w:sz w:val="18"/>
                <w:szCs w:val="18"/>
              </w:rPr>
              <w:t>import duties; these costs are passed on to customers, making solar less affordable.</w:t>
            </w:r>
          </w:p>
        </w:tc>
      </w:tr>
      <w:tr w:rsidR="00EB0D40" w:rsidRPr="00EC0016" w14:paraId="3851D26D" w14:textId="77777777" w:rsidTr="0097025C">
        <w:tc>
          <w:tcPr>
            <w:cnfStyle w:val="001000000000" w:firstRow="0" w:lastRow="0" w:firstColumn="1" w:lastColumn="0" w:oddVBand="0" w:evenVBand="0" w:oddHBand="0" w:evenHBand="0" w:firstRowFirstColumn="0" w:firstRowLastColumn="0" w:lastRowFirstColumn="0" w:lastRowLastColumn="0"/>
            <w:tcW w:w="1795" w:type="dxa"/>
          </w:tcPr>
          <w:p w14:paraId="2A3C615A" w14:textId="77777777" w:rsidR="00EB0D40" w:rsidRPr="00B42631" w:rsidRDefault="00EB0D40" w:rsidP="0097025C">
            <w:pPr>
              <w:spacing w:after="60"/>
              <w:rPr>
                <w:sz w:val="18"/>
                <w:szCs w:val="18"/>
              </w:rPr>
            </w:pPr>
            <w:r w:rsidRPr="00B42631">
              <w:rPr>
                <w:sz w:val="18"/>
                <w:szCs w:val="18"/>
              </w:rPr>
              <w:t>Consumer education programs</w:t>
            </w:r>
          </w:p>
        </w:tc>
        <w:tc>
          <w:tcPr>
            <w:tcW w:w="3777" w:type="dxa"/>
          </w:tcPr>
          <w:p w14:paraId="696F7543" w14:textId="77777777" w:rsidR="00EB0D40" w:rsidRPr="00CD715F"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Widespread, multi-channel c</w:t>
            </w:r>
            <w:r w:rsidRPr="00CD715F">
              <w:rPr>
                <w:sz w:val="18"/>
                <w:szCs w:val="18"/>
              </w:rPr>
              <w:t>onsumer education and benef</w:t>
            </w:r>
            <w:r>
              <w:rPr>
                <w:sz w:val="18"/>
                <w:szCs w:val="18"/>
              </w:rPr>
              <w:t>it awareness building campaigns</w:t>
            </w:r>
          </w:p>
          <w:p w14:paraId="73F274B0"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CD715F">
              <w:rPr>
                <w:sz w:val="18"/>
                <w:szCs w:val="18"/>
              </w:rPr>
              <w:lastRenderedPageBreak/>
              <w:t>Target end-users and the supporting ecosystem including distributors and retailers</w:t>
            </w:r>
          </w:p>
          <w:p w14:paraId="37736C9D" w14:textId="77777777" w:rsidR="00EB0D40" w:rsidRPr="00CD715F"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Coordinate </w:t>
            </w:r>
            <w:r w:rsidRPr="00CD715F">
              <w:rPr>
                <w:sz w:val="18"/>
                <w:szCs w:val="18"/>
              </w:rPr>
              <w:t>efforts of private, publi</w:t>
            </w:r>
            <w:r>
              <w:rPr>
                <w:sz w:val="18"/>
                <w:szCs w:val="18"/>
              </w:rPr>
              <w:t>c and development sector</w:t>
            </w:r>
          </w:p>
        </w:tc>
        <w:tc>
          <w:tcPr>
            <w:tcW w:w="3778" w:type="dxa"/>
          </w:tcPr>
          <w:p w14:paraId="621A936E" w14:textId="77777777" w:rsidR="00EB0D40" w:rsidRPr="00CD715F"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CD715F">
              <w:rPr>
                <w:sz w:val="18"/>
                <w:szCs w:val="18"/>
              </w:rPr>
              <w:lastRenderedPageBreak/>
              <w:t xml:space="preserve">Overcome negative consumer perceptions and build </w:t>
            </w:r>
            <w:r>
              <w:rPr>
                <w:sz w:val="18"/>
                <w:szCs w:val="18"/>
              </w:rPr>
              <w:t>benefit awareness</w:t>
            </w:r>
          </w:p>
          <w:p w14:paraId="3096DF58" w14:textId="41CD4FAB" w:rsidR="00EB0D40" w:rsidRPr="00CD715F" w:rsidRDefault="00542C2C"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Influence</w:t>
            </w:r>
            <w:r w:rsidR="00EB0D40" w:rsidRPr="00CD715F">
              <w:rPr>
                <w:sz w:val="18"/>
                <w:szCs w:val="18"/>
              </w:rPr>
              <w:t xml:space="preserve"> purchase decisions and ease access to distribution channels</w:t>
            </w:r>
          </w:p>
          <w:p w14:paraId="2702FA87" w14:textId="77777777" w:rsidR="00EB0D40" w:rsidRPr="00CD715F" w:rsidRDefault="00EB0D40" w:rsidP="0097025C">
            <w:pPr>
              <w:pStyle w:val="ListParagraph"/>
              <w:spacing w:after="60"/>
              <w:ind w:left="187"/>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EB0D40" w:rsidRPr="00EC0016" w14:paraId="7C4F9A71" w14:textId="77777777" w:rsidTr="0097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6028115" w14:textId="77777777" w:rsidR="00EB0D40" w:rsidRPr="00B42631" w:rsidRDefault="00EB0D40" w:rsidP="0097025C">
            <w:pPr>
              <w:spacing w:after="60"/>
              <w:rPr>
                <w:sz w:val="18"/>
                <w:szCs w:val="18"/>
              </w:rPr>
            </w:pPr>
            <w:r>
              <w:rPr>
                <w:sz w:val="18"/>
                <w:szCs w:val="18"/>
              </w:rPr>
              <w:lastRenderedPageBreak/>
              <w:t>Inventory financing facility (IFF)</w:t>
            </w:r>
          </w:p>
        </w:tc>
        <w:tc>
          <w:tcPr>
            <w:tcW w:w="3777" w:type="dxa"/>
          </w:tcPr>
          <w:p w14:paraId="191EC22C"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Concessionary credit line so financial institutions (FI) can access liquidity for solar market lending</w:t>
            </w:r>
          </w:p>
          <w:p w14:paraId="4C0BC6A9" w14:textId="77777777" w:rsidR="00EB0D40" w:rsidRPr="005350A9"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FI use liquidity to offer solar companies loans (potentially at subsidized rates) </w:t>
            </w:r>
            <w:r w:rsidRPr="005350A9">
              <w:rPr>
                <w:sz w:val="18"/>
                <w:szCs w:val="18"/>
              </w:rPr>
              <w:t>to refinance inventory holding</w:t>
            </w:r>
          </w:p>
          <w:p w14:paraId="7AD10F77"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Loans available to all solar companies (small household systems, larger PV installations, and mini-grids)</w:t>
            </w:r>
          </w:p>
          <w:p w14:paraId="414B52C6" w14:textId="77777777" w:rsidR="00EB0D40" w:rsidRPr="00CD715F"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Start with few FI, maybe ASUSU and one large bank, and gradually expand</w:t>
            </w:r>
          </w:p>
        </w:tc>
        <w:tc>
          <w:tcPr>
            <w:tcW w:w="3778" w:type="dxa"/>
          </w:tcPr>
          <w:p w14:paraId="01B34A3A"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717801">
              <w:rPr>
                <w:sz w:val="18"/>
                <w:szCs w:val="18"/>
              </w:rPr>
              <w:t xml:space="preserve">Long inventory financing periods present a key challenge to growth for </w:t>
            </w:r>
            <w:r>
              <w:rPr>
                <w:sz w:val="18"/>
                <w:szCs w:val="18"/>
              </w:rPr>
              <w:t>solar lantern and solar home system distributors</w:t>
            </w:r>
          </w:p>
          <w:p w14:paraId="563353CF" w14:textId="77777777" w:rsidR="00EB0D40" w:rsidRPr="00717801"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High upfront financing requirements present a key challenge to distributors of larger PV systems (including pumps)</w:t>
            </w:r>
          </w:p>
          <w:p w14:paraId="0A2303A6" w14:textId="77777777" w:rsidR="00EB0D40" w:rsidRPr="00CD715F" w:rsidRDefault="00EB0D40" w:rsidP="0097025C">
            <w:pPr>
              <w:pStyle w:val="ListParagraph"/>
              <w:spacing w:after="60"/>
              <w:ind w:left="187"/>
              <w:contextualSpacing w:val="0"/>
              <w:cnfStyle w:val="000000100000" w:firstRow="0" w:lastRow="0" w:firstColumn="0" w:lastColumn="0" w:oddVBand="0" w:evenVBand="0" w:oddHBand="1" w:evenHBand="0" w:firstRowFirstColumn="0" w:firstRowLastColumn="0" w:lastRowFirstColumn="0" w:lastRowLastColumn="0"/>
              <w:rPr>
                <w:sz w:val="18"/>
                <w:szCs w:val="18"/>
              </w:rPr>
            </w:pPr>
          </w:p>
        </w:tc>
      </w:tr>
      <w:tr w:rsidR="00EB0D40" w:rsidRPr="00EC0016" w14:paraId="22D3BD95" w14:textId="77777777" w:rsidTr="0097025C">
        <w:tc>
          <w:tcPr>
            <w:cnfStyle w:val="001000000000" w:firstRow="0" w:lastRow="0" w:firstColumn="1" w:lastColumn="0" w:oddVBand="0" w:evenVBand="0" w:oddHBand="0" w:evenHBand="0" w:firstRowFirstColumn="0" w:firstRowLastColumn="0" w:lastRowFirstColumn="0" w:lastRowLastColumn="0"/>
            <w:tcW w:w="1795" w:type="dxa"/>
          </w:tcPr>
          <w:p w14:paraId="14E4E886" w14:textId="77777777" w:rsidR="00EB0D40" w:rsidRPr="00B42631" w:rsidRDefault="00EB0D40" w:rsidP="0097025C">
            <w:pPr>
              <w:spacing w:after="60"/>
              <w:rPr>
                <w:sz w:val="18"/>
                <w:szCs w:val="18"/>
              </w:rPr>
            </w:pPr>
            <w:r>
              <w:rPr>
                <w:sz w:val="18"/>
                <w:szCs w:val="18"/>
              </w:rPr>
              <w:t>Credit guarantee scheme for IFF</w:t>
            </w:r>
          </w:p>
        </w:tc>
        <w:tc>
          <w:tcPr>
            <w:tcW w:w="3777" w:type="dxa"/>
          </w:tcPr>
          <w:p w14:paraId="2CB91FBE"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A33A64">
              <w:rPr>
                <w:sz w:val="18"/>
                <w:szCs w:val="18"/>
              </w:rPr>
              <w:t>Private sector</w:t>
            </w:r>
            <w:r>
              <w:rPr>
                <w:sz w:val="18"/>
                <w:szCs w:val="18"/>
              </w:rPr>
              <w:t xml:space="preserve"> </w:t>
            </w:r>
            <w:r w:rsidRPr="00A33A64">
              <w:rPr>
                <w:sz w:val="18"/>
                <w:szCs w:val="18"/>
              </w:rPr>
              <w:t xml:space="preserve">lending portfolio </w:t>
            </w:r>
            <w:r>
              <w:rPr>
                <w:sz w:val="18"/>
                <w:szCs w:val="18"/>
              </w:rPr>
              <w:t>is de-risked through guarantees</w:t>
            </w:r>
          </w:p>
          <w:p w14:paraId="5503854D"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Loss sharing agreements to cover irrecoverable inventory loans</w:t>
            </w:r>
          </w:p>
          <w:p w14:paraId="031DCD8B" w14:textId="77777777" w:rsidR="00EB0D40" w:rsidRPr="00A33A64" w:rsidRDefault="00EB0D40" w:rsidP="009702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3778" w:type="dxa"/>
          </w:tcPr>
          <w:p w14:paraId="2962F68F"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De-risking encourages private sector lending to solar sector</w:t>
            </w:r>
          </w:p>
          <w:p w14:paraId="5499941B" w14:textId="77777777" w:rsidR="00EB0D40" w:rsidRPr="00CA5EB1"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Initial security until the </w:t>
            </w:r>
            <w:r w:rsidRPr="00D62A86">
              <w:rPr>
                <w:sz w:val="18"/>
                <w:szCs w:val="18"/>
              </w:rPr>
              <w:t xml:space="preserve">proof case of economic viability of </w:t>
            </w:r>
            <w:r>
              <w:rPr>
                <w:sz w:val="18"/>
                <w:szCs w:val="18"/>
              </w:rPr>
              <w:t>lending to solar businesses has been established</w:t>
            </w:r>
          </w:p>
        </w:tc>
      </w:tr>
      <w:tr w:rsidR="00EB0D40" w:rsidRPr="00EC0016" w14:paraId="51894C0B" w14:textId="77777777" w:rsidTr="0097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01CB494" w14:textId="77777777" w:rsidR="00EB0D40" w:rsidRPr="00B42631" w:rsidRDefault="00EB0D40" w:rsidP="0097025C">
            <w:pPr>
              <w:spacing w:after="60"/>
              <w:rPr>
                <w:sz w:val="18"/>
                <w:szCs w:val="18"/>
              </w:rPr>
            </w:pPr>
            <w:r>
              <w:rPr>
                <w:sz w:val="18"/>
                <w:szCs w:val="18"/>
              </w:rPr>
              <w:t>Consumer loan financing facility (CLFF)</w:t>
            </w:r>
          </w:p>
        </w:tc>
        <w:tc>
          <w:tcPr>
            <w:tcW w:w="3777" w:type="dxa"/>
          </w:tcPr>
          <w:p w14:paraId="58485520"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Concessionary credit line so FI can access liquidity for solar market lending</w:t>
            </w:r>
          </w:p>
          <w:p w14:paraId="69F691C7"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 offer consumer lending schemes to finance solar asset purchases</w:t>
            </w:r>
          </w:p>
          <w:p w14:paraId="7758A889"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Focus on liquidity for private households</w:t>
            </w:r>
          </w:p>
          <w:p w14:paraId="33436160" w14:textId="6F43797E" w:rsidR="00600107" w:rsidRPr="00CD715F" w:rsidRDefault="00600107"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542C2C">
              <w:rPr>
                <w:sz w:val="18"/>
                <w:szCs w:val="18"/>
              </w:rPr>
              <w:t>Sharia compliant financing required to reach broad share of population</w:t>
            </w:r>
          </w:p>
        </w:tc>
        <w:tc>
          <w:tcPr>
            <w:tcW w:w="3778" w:type="dxa"/>
          </w:tcPr>
          <w:p w14:paraId="3AFB70CC" w14:textId="77777777" w:rsidR="00EB0D40" w:rsidRPr="001520FC"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Low purchasing power among private households is key </w:t>
            </w:r>
            <w:r w:rsidRPr="001520FC">
              <w:rPr>
                <w:sz w:val="18"/>
                <w:szCs w:val="18"/>
              </w:rPr>
              <w:t>constraint to growth for</w:t>
            </w:r>
            <w:r>
              <w:rPr>
                <w:sz w:val="18"/>
                <w:szCs w:val="18"/>
              </w:rPr>
              <w:t xml:space="preserve"> solar home systems (and larger solar lanterns)</w:t>
            </w:r>
          </w:p>
          <w:p w14:paraId="5B23228A"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Credit line and underlying guarantee required </w:t>
            </w:r>
            <w:r w:rsidRPr="001520FC">
              <w:rPr>
                <w:sz w:val="18"/>
                <w:szCs w:val="18"/>
              </w:rPr>
              <w:t xml:space="preserve">to establish proof case of economic viability of receivables financing </w:t>
            </w:r>
          </w:p>
          <w:p w14:paraId="6DF0FF91" w14:textId="77777777" w:rsidR="00EB0D40" w:rsidRPr="00CD715F"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Facility can be expanded or transformed to provide PAYG operators financing of on-balance sheet consumer loans</w:t>
            </w:r>
          </w:p>
        </w:tc>
      </w:tr>
      <w:tr w:rsidR="00EB0D40" w:rsidRPr="00EC0016" w14:paraId="1A2F4C52" w14:textId="77777777" w:rsidTr="0097025C">
        <w:tc>
          <w:tcPr>
            <w:cnfStyle w:val="001000000000" w:firstRow="0" w:lastRow="0" w:firstColumn="1" w:lastColumn="0" w:oddVBand="0" w:evenVBand="0" w:oddHBand="0" w:evenHBand="0" w:firstRowFirstColumn="0" w:firstRowLastColumn="0" w:lastRowFirstColumn="0" w:lastRowLastColumn="0"/>
            <w:tcW w:w="1795" w:type="dxa"/>
          </w:tcPr>
          <w:p w14:paraId="1B373144" w14:textId="77777777" w:rsidR="00EB0D40" w:rsidRPr="00B42631" w:rsidRDefault="00EB0D40" w:rsidP="0097025C">
            <w:pPr>
              <w:spacing w:after="60"/>
              <w:rPr>
                <w:sz w:val="18"/>
                <w:szCs w:val="18"/>
              </w:rPr>
            </w:pPr>
            <w:r>
              <w:rPr>
                <w:sz w:val="18"/>
                <w:szCs w:val="18"/>
              </w:rPr>
              <w:t>Credit guarantee scheme for CLFF</w:t>
            </w:r>
          </w:p>
        </w:tc>
        <w:tc>
          <w:tcPr>
            <w:tcW w:w="3777" w:type="dxa"/>
          </w:tcPr>
          <w:p w14:paraId="2F69CD6E"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A33A64">
              <w:rPr>
                <w:sz w:val="18"/>
                <w:szCs w:val="18"/>
              </w:rPr>
              <w:t>Private sector</w:t>
            </w:r>
            <w:r>
              <w:rPr>
                <w:sz w:val="18"/>
                <w:szCs w:val="18"/>
              </w:rPr>
              <w:t xml:space="preserve"> </w:t>
            </w:r>
            <w:r w:rsidRPr="00A33A64">
              <w:rPr>
                <w:sz w:val="18"/>
                <w:szCs w:val="18"/>
              </w:rPr>
              <w:t xml:space="preserve">lending portfolio </w:t>
            </w:r>
            <w:r>
              <w:rPr>
                <w:sz w:val="18"/>
                <w:szCs w:val="18"/>
              </w:rPr>
              <w:t>is de-risked through guarantees</w:t>
            </w:r>
          </w:p>
          <w:p w14:paraId="08FAB2A1"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Loss sharing agreements to cover irrecoverable consumer loans</w:t>
            </w:r>
          </w:p>
          <w:p w14:paraId="14A390C6" w14:textId="77777777" w:rsidR="00EB0D40" w:rsidRPr="00CD715F" w:rsidRDefault="00EB0D40" w:rsidP="0097025C">
            <w:pPr>
              <w:pStyle w:val="ListParagraph"/>
              <w:spacing w:after="60"/>
              <w:ind w:left="187"/>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3778" w:type="dxa"/>
          </w:tcPr>
          <w:p w14:paraId="61F5BDF1"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De-risking encourages private sector lending to solar sector</w:t>
            </w:r>
          </w:p>
          <w:p w14:paraId="2B84A15E" w14:textId="77777777" w:rsidR="00EB0D40" w:rsidRPr="00CD715F"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Initial security until the </w:t>
            </w:r>
            <w:r w:rsidRPr="00D62A86">
              <w:rPr>
                <w:sz w:val="18"/>
                <w:szCs w:val="18"/>
              </w:rPr>
              <w:t xml:space="preserve">proof case of economic viability </w:t>
            </w:r>
            <w:r>
              <w:rPr>
                <w:sz w:val="18"/>
                <w:szCs w:val="18"/>
              </w:rPr>
              <w:t>for solar consumer loans has been established</w:t>
            </w:r>
          </w:p>
        </w:tc>
      </w:tr>
      <w:tr w:rsidR="00EB0D40" w:rsidRPr="00EC0016" w14:paraId="3D8A18BA" w14:textId="77777777" w:rsidTr="0097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38FAFF8" w14:textId="77777777" w:rsidR="00EB0D40" w:rsidRDefault="00EB0D40" w:rsidP="0097025C">
            <w:pPr>
              <w:spacing w:after="60"/>
              <w:rPr>
                <w:sz w:val="18"/>
                <w:szCs w:val="18"/>
              </w:rPr>
            </w:pPr>
            <w:r>
              <w:rPr>
                <w:sz w:val="18"/>
                <w:szCs w:val="18"/>
              </w:rPr>
              <w:t>Market entry and expansion grants</w:t>
            </w:r>
          </w:p>
        </w:tc>
        <w:tc>
          <w:tcPr>
            <w:tcW w:w="3777" w:type="dxa"/>
          </w:tcPr>
          <w:p w14:paraId="5A5E9030" w14:textId="77777777" w:rsidR="00EB0D40"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Combination of u</w:t>
            </w:r>
            <w:r w:rsidRPr="00B673F2">
              <w:rPr>
                <w:sz w:val="18"/>
                <w:szCs w:val="18"/>
              </w:rPr>
              <w:t>pfront</w:t>
            </w:r>
            <w:r>
              <w:rPr>
                <w:sz w:val="18"/>
                <w:szCs w:val="18"/>
              </w:rPr>
              <w:t xml:space="preserve"> grants and results-based financing</w:t>
            </w:r>
            <w:r w:rsidRPr="00B673F2">
              <w:rPr>
                <w:sz w:val="18"/>
                <w:szCs w:val="18"/>
              </w:rPr>
              <w:t xml:space="preserve"> to invest in infrastructure</w:t>
            </w:r>
            <w:r>
              <w:rPr>
                <w:sz w:val="18"/>
                <w:szCs w:val="18"/>
              </w:rPr>
              <w:t xml:space="preserve"> and working capital</w:t>
            </w:r>
          </w:p>
          <w:p w14:paraId="78CE6C22" w14:textId="77777777" w:rsidR="00EB0D40" w:rsidRPr="00B673F2" w:rsidRDefault="00EB0D40" w:rsidP="006A7E1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Awarded to distributors of small household systems, as well as mini-grid operators</w:t>
            </w:r>
          </w:p>
          <w:p w14:paraId="2217475E" w14:textId="77777777" w:rsidR="00EB0D40" w:rsidRPr="00CD715F" w:rsidRDefault="00EB0D40" w:rsidP="0097025C">
            <w:pPr>
              <w:pStyle w:val="ListParagraph"/>
              <w:spacing w:after="60"/>
              <w:ind w:left="187"/>
              <w:contextualSpacing w:val="0"/>
              <w:cnfStyle w:val="000000100000" w:firstRow="0" w:lastRow="0" w:firstColumn="0" w:lastColumn="0" w:oddVBand="0" w:evenVBand="0" w:oddHBand="1" w:evenHBand="0" w:firstRowFirstColumn="0" w:firstRowLastColumn="0" w:lastRowFirstColumn="0" w:lastRowLastColumn="0"/>
              <w:rPr>
                <w:sz w:val="18"/>
                <w:szCs w:val="18"/>
              </w:rPr>
            </w:pPr>
          </w:p>
        </w:tc>
        <w:tc>
          <w:tcPr>
            <w:tcW w:w="3778" w:type="dxa"/>
          </w:tcPr>
          <w:p w14:paraId="7219B417" w14:textId="77777777" w:rsidR="00EB0D40" w:rsidRDefault="00EB0D40" w:rsidP="006A7E1D">
            <w:pPr>
              <w:pStyle w:val="ListParagraph"/>
              <w:numPr>
                <w:ilvl w:val="0"/>
                <w:numId w:val="14"/>
              </w:numPr>
              <w:spacing w:before="60" w:after="120"/>
              <w:ind w:left="260" w:hanging="274"/>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Significant upfront investment to build distribution network and source inventories to serve household market</w:t>
            </w:r>
          </w:p>
          <w:p w14:paraId="5F1ED97A" w14:textId="77777777" w:rsidR="00EB0D40" w:rsidRPr="00A6456F" w:rsidRDefault="00EB0D40" w:rsidP="006A7E1D">
            <w:pPr>
              <w:pStyle w:val="ListParagraph"/>
              <w:numPr>
                <w:ilvl w:val="0"/>
                <w:numId w:val="14"/>
              </w:numPr>
              <w:spacing w:before="60" w:after="120"/>
              <w:ind w:left="260" w:hanging="274"/>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Significant upfront investment and long amortization periods for mini-grids</w:t>
            </w:r>
          </w:p>
        </w:tc>
      </w:tr>
      <w:tr w:rsidR="00EB0D40" w:rsidRPr="00EC0016" w14:paraId="041910CC" w14:textId="77777777" w:rsidTr="0097025C">
        <w:tc>
          <w:tcPr>
            <w:cnfStyle w:val="001000000000" w:firstRow="0" w:lastRow="0" w:firstColumn="1" w:lastColumn="0" w:oddVBand="0" w:evenVBand="0" w:oddHBand="0" w:evenHBand="0" w:firstRowFirstColumn="0" w:firstRowLastColumn="0" w:lastRowFirstColumn="0" w:lastRowLastColumn="0"/>
            <w:tcW w:w="1795" w:type="dxa"/>
          </w:tcPr>
          <w:p w14:paraId="75E377A0" w14:textId="77777777" w:rsidR="00EB0D40" w:rsidRDefault="00EB0D40" w:rsidP="0097025C">
            <w:pPr>
              <w:spacing w:after="60"/>
              <w:rPr>
                <w:sz w:val="18"/>
                <w:szCs w:val="18"/>
              </w:rPr>
            </w:pPr>
            <w:r>
              <w:rPr>
                <w:sz w:val="18"/>
                <w:szCs w:val="18"/>
              </w:rPr>
              <w:t>Technical assistance</w:t>
            </w:r>
          </w:p>
        </w:tc>
        <w:tc>
          <w:tcPr>
            <w:tcW w:w="3777" w:type="dxa"/>
          </w:tcPr>
          <w:p w14:paraId="32713015" w14:textId="2E9C9B1B"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AF117D">
              <w:rPr>
                <w:i/>
                <w:sz w:val="18"/>
                <w:szCs w:val="18"/>
              </w:rPr>
              <w:t>Government:</w:t>
            </w:r>
            <w:r w:rsidR="00542C2C">
              <w:rPr>
                <w:sz w:val="18"/>
                <w:szCs w:val="18"/>
              </w:rPr>
              <w:t xml:space="preserve"> Assistance in strengthening the regulatory environment, with a focus on </w:t>
            </w:r>
            <w:r w:rsidRPr="00AF117D">
              <w:rPr>
                <w:sz w:val="18"/>
                <w:szCs w:val="18"/>
              </w:rPr>
              <w:t>import regulation</w:t>
            </w:r>
            <w:r>
              <w:rPr>
                <w:sz w:val="18"/>
                <w:szCs w:val="18"/>
              </w:rPr>
              <w:t xml:space="preserve">, </w:t>
            </w:r>
            <w:r w:rsidRPr="00AF117D">
              <w:rPr>
                <w:sz w:val="18"/>
                <w:szCs w:val="18"/>
              </w:rPr>
              <w:t>industry standards</w:t>
            </w:r>
            <w:r>
              <w:rPr>
                <w:sz w:val="18"/>
                <w:szCs w:val="18"/>
              </w:rPr>
              <w:t xml:space="preserve"> and licensing processes</w:t>
            </w:r>
          </w:p>
          <w:p w14:paraId="3B4E7251"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i/>
                <w:sz w:val="18"/>
                <w:szCs w:val="18"/>
              </w:rPr>
              <w:lastRenderedPageBreak/>
              <w:t>Financial Institutions:</w:t>
            </w:r>
            <w:r>
              <w:rPr>
                <w:sz w:val="18"/>
                <w:szCs w:val="18"/>
              </w:rPr>
              <w:t xml:space="preserve"> Capacity building related to financial services aimed at solar industry, credit risk assessment etc.</w:t>
            </w:r>
          </w:p>
          <w:p w14:paraId="4B845B5A"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i/>
                <w:sz w:val="18"/>
                <w:szCs w:val="18"/>
              </w:rPr>
              <w:t>Solar companies:</w:t>
            </w:r>
            <w:r>
              <w:rPr>
                <w:sz w:val="18"/>
                <w:szCs w:val="18"/>
              </w:rPr>
              <w:t xml:space="preserve"> Best practice transfer from international markets and support in setting up technology platforms for PAYG; incubation and acceleration of early-stage businesses</w:t>
            </w:r>
          </w:p>
          <w:p w14:paraId="643C5150" w14:textId="77777777" w:rsidR="00CC328E" w:rsidRDefault="00CC328E"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i/>
                <w:sz w:val="18"/>
                <w:szCs w:val="18"/>
              </w:rPr>
              <w:t>MNOs:</w:t>
            </w:r>
            <w:r>
              <w:rPr>
                <w:sz w:val="18"/>
                <w:szCs w:val="18"/>
              </w:rPr>
              <w:t xml:space="preserve"> Best practice transfer regarding platforms, interfaces, and market development from international markets</w:t>
            </w:r>
          </w:p>
          <w:p w14:paraId="430710A6" w14:textId="1862D07E" w:rsidR="00EB0D40" w:rsidRPr="00CC328E"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i/>
                <w:sz w:val="18"/>
                <w:szCs w:val="18"/>
              </w:rPr>
              <w:t>Solar technicians:</w:t>
            </w:r>
            <w:r>
              <w:rPr>
                <w:sz w:val="18"/>
                <w:szCs w:val="18"/>
              </w:rPr>
              <w:t xml:space="preserve"> Capacity building for nationwide installation and maintenance of solar equipment</w:t>
            </w:r>
          </w:p>
        </w:tc>
        <w:tc>
          <w:tcPr>
            <w:tcW w:w="3778" w:type="dxa"/>
          </w:tcPr>
          <w:p w14:paraId="01168FB1"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Make the business environment more conducive and profitable</w:t>
            </w:r>
          </w:p>
          <w:p w14:paraId="5993358B" w14:textId="77777777" w:rsidR="00EB0D40"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Strengthen the overall ecosystem surrounding the solar market</w:t>
            </w:r>
          </w:p>
          <w:p w14:paraId="7F79F0D5" w14:textId="77777777" w:rsidR="00EB0D40" w:rsidRPr="00CD715F" w:rsidRDefault="00EB0D40" w:rsidP="006A7E1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Ensure knowledge transfer from abroad for faster, more cost-efficient progress</w:t>
            </w:r>
          </w:p>
        </w:tc>
      </w:tr>
    </w:tbl>
    <w:p w14:paraId="50A6077F" w14:textId="2DDB366F" w:rsidR="00EB0D40" w:rsidRDefault="00EB0D40" w:rsidP="00EB0D40">
      <w:pPr>
        <w:jc w:val="both"/>
        <w:rPr>
          <w:rFonts w:cs="Segoe UI"/>
        </w:rPr>
      </w:pPr>
    </w:p>
    <w:p w14:paraId="56D64EF3" w14:textId="3A6FE6E8" w:rsidR="00D7570A" w:rsidRDefault="00D7570A" w:rsidP="00EB0D40">
      <w:pPr>
        <w:jc w:val="both"/>
        <w:rPr>
          <w:rFonts w:cs="Segoe UI"/>
        </w:rPr>
      </w:pPr>
      <w:r w:rsidRPr="00D746AA">
        <w:rPr>
          <w:rFonts w:cs="Segoe UI"/>
        </w:rPr>
        <w:t xml:space="preserve">We recommend initiating the overarching systemic interventions as timely as possible, as removal of the </w:t>
      </w:r>
      <w:r w:rsidR="00D54BB4" w:rsidRPr="00D746AA">
        <w:rPr>
          <w:rFonts w:cs="Segoe UI"/>
        </w:rPr>
        <w:t xml:space="preserve">import </w:t>
      </w:r>
      <w:r w:rsidRPr="00D746AA">
        <w:rPr>
          <w:rFonts w:cs="Segoe UI"/>
        </w:rPr>
        <w:t>duties will be key to further market growth. Consumer education programs will be required to stimulate</w:t>
      </w:r>
      <w:r>
        <w:rPr>
          <w:rFonts w:cs="Segoe UI"/>
        </w:rPr>
        <w:t xml:space="preserve"> the demand side, and significant technical assistance will be required to develop a more conducive ecosystem for private sector players operating in the solar industry. </w:t>
      </w:r>
    </w:p>
    <w:p w14:paraId="4EEC3582" w14:textId="6856C8B8" w:rsidR="00812AF3" w:rsidRDefault="00014E5C" w:rsidP="00EB0D40">
      <w:pPr>
        <w:jc w:val="both"/>
        <w:rPr>
          <w:rFonts w:cs="Segoe UI"/>
        </w:rPr>
      </w:pPr>
      <w:r>
        <w:rPr>
          <w:rFonts w:cs="Segoe UI"/>
        </w:rPr>
        <w:t xml:space="preserve">The next step is to encourage investment on the supply side through the provision of </w:t>
      </w:r>
      <w:r w:rsidR="00B17DA0">
        <w:rPr>
          <w:rFonts w:cs="Segoe UI"/>
        </w:rPr>
        <w:t>market entry and expansion grants, and launching the inventory financing facility</w:t>
      </w:r>
      <w:r w:rsidR="00812AF3">
        <w:rPr>
          <w:rFonts w:cs="Segoe UI"/>
        </w:rPr>
        <w:t xml:space="preserve">, and putting consumer financing schemes in place to reduce </w:t>
      </w:r>
      <w:r w:rsidR="00812AF3" w:rsidRPr="009D6972">
        <w:rPr>
          <w:rFonts w:cs="Segoe UI"/>
        </w:rPr>
        <w:t>affordability-based limitations of demand.</w:t>
      </w:r>
      <w:r w:rsidR="006971CE" w:rsidRPr="009D6972">
        <w:rPr>
          <w:rFonts w:cs="Segoe UI"/>
        </w:rPr>
        <w:t xml:space="preserve"> </w:t>
      </w:r>
      <w:r w:rsidR="00812AF3" w:rsidRPr="009D6972">
        <w:rPr>
          <w:rFonts w:cs="Segoe UI"/>
        </w:rPr>
        <w:t>As the market grows, overall funding requirements for market interventions will increase; for an initial 2-year market development program, we estimate the funding needs</w:t>
      </w:r>
      <w:r w:rsidR="00812AF3">
        <w:rPr>
          <w:rFonts w:cs="Segoe UI"/>
        </w:rPr>
        <w:t xml:space="preserve"> as shown in </w:t>
      </w:r>
      <w:r w:rsidR="00812AF3">
        <w:rPr>
          <w:rFonts w:cs="Segoe UI"/>
        </w:rPr>
        <w:fldChar w:fldCharType="begin"/>
      </w:r>
      <w:r w:rsidR="00812AF3">
        <w:rPr>
          <w:rFonts w:cs="Segoe UI"/>
        </w:rPr>
        <w:instrText xml:space="preserve"> REF _Ref477520629 \h </w:instrText>
      </w:r>
      <w:r w:rsidR="00812AF3">
        <w:rPr>
          <w:rFonts w:cs="Segoe UI"/>
        </w:rPr>
      </w:r>
      <w:r w:rsidR="00812AF3">
        <w:rPr>
          <w:rFonts w:cs="Segoe UI"/>
        </w:rPr>
        <w:fldChar w:fldCharType="separate"/>
      </w:r>
      <w:r w:rsidR="000D1C35">
        <w:t xml:space="preserve">Table </w:t>
      </w:r>
      <w:r w:rsidR="000D1C35">
        <w:rPr>
          <w:noProof/>
        </w:rPr>
        <w:t>29</w:t>
      </w:r>
      <w:r w:rsidR="00812AF3">
        <w:rPr>
          <w:rFonts w:cs="Segoe UI"/>
        </w:rPr>
        <w:fldChar w:fldCharType="end"/>
      </w:r>
      <w:r w:rsidR="00812AF3">
        <w:rPr>
          <w:rFonts w:cs="Segoe UI"/>
        </w:rPr>
        <w:t>.</w:t>
      </w:r>
    </w:p>
    <w:p w14:paraId="65A33A66" w14:textId="71FA2A57" w:rsidR="00812AF3" w:rsidRDefault="00812AF3" w:rsidP="00812AF3">
      <w:pPr>
        <w:pStyle w:val="Caption"/>
      </w:pPr>
      <w:bookmarkStart w:id="172" w:name="_Ref477520629"/>
      <w:bookmarkStart w:id="173" w:name="_Toc500969393"/>
      <w:r>
        <w:t xml:space="preserve">Table </w:t>
      </w:r>
      <w:fldSimple w:instr=" SEQ Table \* ARABIC ">
        <w:r w:rsidR="000D1C35">
          <w:rPr>
            <w:noProof/>
          </w:rPr>
          <w:t>29</w:t>
        </w:r>
      </w:fldSimple>
      <w:bookmarkEnd w:id="172"/>
      <w:r>
        <w:t>: Estimated funding requirements for an initial 2-year market development program</w:t>
      </w:r>
      <w:bookmarkEnd w:id="173"/>
    </w:p>
    <w:tbl>
      <w:tblPr>
        <w:tblStyle w:val="GridTable6Colorful"/>
        <w:tblW w:w="0" w:type="auto"/>
        <w:tblLook w:val="0680" w:firstRow="0" w:lastRow="0" w:firstColumn="1" w:lastColumn="0" w:noHBand="1" w:noVBand="1"/>
      </w:tblPr>
      <w:tblGrid>
        <w:gridCol w:w="5755"/>
        <w:gridCol w:w="1890"/>
      </w:tblGrid>
      <w:tr w:rsidR="00812AF3" w:rsidRPr="00523A68" w14:paraId="5E3174C7" w14:textId="77777777" w:rsidTr="00812AF3">
        <w:trPr>
          <w:trHeight w:val="736"/>
        </w:trPr>
        <w:tc>
          <w:tcPr>
            <w:cnfStyle w:val="001000000000" w:firstRow="0" w:lastRow="0" w:firstColumn="1" w:lastColumn="0" w:oddVBand="0" w:evenVBand="0" w:oddHBand="0" w:evenHBand="0" w:firstRowFirstColumn="0" w:firstRowLastColumn="0" w:lastRowFirstColumn="0" w:lastRowLastColumn="0"/>
            <w:tcW w:w="5755" w:type="dxa"/>
            <w:shd w:val="clear" w:color="auto" w:fill="BFD4EF" w:themeFill="text1" w:themeFillTint="33"/>
            <w:vAlign w:val="center"/>
          </w:tcPr>
          <w:p w14:paraId="18204F49" w14:textId="76C08B4F" w:rsidR="00812AF3" w:rsidRPr="00AB3525" w:rsidRDefault="00812AF3" w:rsidP="006E517E">
            <w:pPr>
              <w:rPr>
                <w:rFonts w:cs="Segoe UI"/>
                <w:sz w:val="18"/>
                <w:szCs w:val="18"/>
              </w:rPr>
            </w:pPr>
          </w:p>
        </w:tc>
        <w:tc>
          <w:tcPr>
            <w:tcW w:w="1890" w:type="dxa"/>
            <w:shd w:val="clear" w:color="auto" w:fill="BFD4EF" w:themeFill="text1" w:themeFillTint="33"/>
            <w:vAlign w:val="center"/>
          </w:tcPr>
          <w:p w14:paraId="2A8E5007" w14:textId="224ACA85" w:rsidR="00812AF3" w:rsidRPr="00AB3525" w:rsidRDefault="00812AF3" w:rsidP="006E517E">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Est. funding requirement</w:t>
            </w:r>
          </w:p>
        </w:tc>
      </w:tr>
      <w:tr w:rsidR="00812AF3" w:rsidRPr="00523A68" w14:paraId="01AE0A89"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2A59E8CA" w14:textId="4A953499" w:rsidR="00812AF3" w:rsidRPr="003C1E20" w:rsidRDefault="00812AF3" w:rsidP="006E517E">
            <w:pPr>
              <w:rPr>
                <w:rFonts w:cs="Segoe UI"/>
                <w:b w:val="0"/>
                <w:sz w:val="18"/>
                <w:szCs w:val="18"/>
              </w:rPr>
            </w:pPr>
            <w:r w:rsidRPr="003C1E20">
              <w:rPr>
                <w:rFonts w:cs="Segoe UI"/>
                <w:b w:val="0"/>
                <w:sz w:val="18"/>
                <w:szCs w:val="18"/>
              </w:rPr>
              <w:t>Market entry and expansion grants</w:t>
            </w:r>
          </w:p>
        </w:tc>
        <w:tc>
          <w:tcPr>
            <w:tcW w:w="1890" w:type="dxa"/>
            <w:vAlign w:val="center"/>
          </w:tcPr>
          <w:p w14:paraId="5644467A" w14:textId="5207E99C" w:rsidR="00812AF3" w:rsidRPr="006A3F56" w:rsidRDefault="00812AF3"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$ 1</w:t>
            </w:r>
            <w:r w:rsidR="001503BB" w:rsidRPr="006A3F56">
              <w:rPr>
                <w:rFonts w:cs="Segoe UI"/>
                <w:sz w:val="18"/>
                <w:szCs w:val="18"/>
              </w:rPr>
              <w:t>.2</w:t>
            </w:r>
            <w:r w:rsidRPr="006A3F56">
              <w:rPr>
                <w:rFonts w:cs="Segoe UI"/>
                <w:sz w:val="18"/>
                <w:szCs w:val="18"/>
              </w:rPr>
              <w:t xml:space="preserve"> million</w:t>
            </w:r>
          </w:p>
        </w:tc>
      </w:tr>
      <w:tr w:rsidR="00812AF3" w:rsidRPr="00523A68" w14:paraId="1BE7F420"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0CD6D335" w14:textId="0256C38A" w:rsidR="00812AF3" w:rsidRPr="003C1E20" w:rsidRDefault="00812AF3" w:rsidP="006E517E">
            <w:pPr>
              <w:rPr>
                <w:rFonts w:cs="Segoe UI"/>
                <w:b w:val="0"/>
                <w:sz w:val="18"/>
                <w:szCs w:val="18"/>
              </w:rPr>
            </w:pPr>
            <w:r w:rsidRPr="003C1E20">
              <w:rPr>
                <w:rFonts w:cs="Segoe UI"/>
                <w:b w:val="0"/>
                <w:sz w:val="18"/>
                <w:szCs w:val="18"/>
              </w:rPr>
              <w:t>Inventory financing facility for household systems</w:t>
            </w:r>
          </w:p>
        </w:tc>
        <w:tc>
          <w:tcPr>
            <w:tcW w:w="1890" w:type="dxa"/>
            <w:vAlign w:val="center"/>
          </w:tcPr>
          <w:p w14:paraId="28715CE4" w14:textId="10B4879D"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$ 0.8</w:t>
            </w:r>
            <w:r w:rsidR="00812AF3" w:rsidRPr="006A3F56">
              <w:rPr>
                <w:rFonts w:cs="Segoe UI"/>
                <w:sz w:val="18"/>
                <w:szCs w:val="18"/>
              </w:rPr>
              <w:t xml:space="preserve"> million</w:t>
            </w:r>
          </w:p>
        </w:tc>
      </w:tr>
      <w:tr w:rsidR="00812AF3" w:rsidRPr="00523A68" w14:paraId="548490A2"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2C8D3FA6" w14:textId="4BC8BCD9" w:rsidR="00812AF3" w:rsidRPr="003C1E20" w:rsidRDefault="00812AF3" w:rsidP="006E517E">
            <w:pPr>
              <w:rPr>
                <w:rFonts w:cs="Segoe UI"/>
                <w:b w:val="0"/>
                <w:sz w:val="18"/>
                <w:szCs w:val="18"/>
              </w:rPr>
            </w:pPr>
            <w:r w:rsidRPr="003C1E20">
              <w:rPr>
                <w:rFonts w:cs="Segoe UI"/>
                <w:b w:val="0"/>
                <w:sz w:val="18"/>
                <w:szCs w:val="18"/>
              </w:rPr>
              <w:t>Inventory financing facility for solar pumping kits</w:t>
            </w:r>
          </w:p>
        </w:tc>
        <w:tc>
          <w:tcPr>
            <w:tcW w:w="1890" w:type="dxa"/>
            <w:vAlign w:val="center"/>
          </w:tcPr>
          <w:p w14:paraId="41CF9CD8" w14:textId="4256F795"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$ 0.2</w:t>
            </w:r>
            <w:r w:rsidR="00812AF3" w:rsidRPr="006A3F56">
              <w:rPr>
                <w:rFonts w:cs="Segoe UI"/>
                <w:sz w:val="18"/>
                <w:szCs w:val="18"/>
              </w:rPr>
              <w:t xml:space="preserve"> million</w:t>
            </w:r>
          </w:p>
        </w:tc>
      </w:tr>
      <w:tr w:rsidR="00812AF3" w:rsidRPr="00523A68" w14:paraId="152545AB"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24AF3AAA" w14:textId="16FAA8EA" w:rsidR="00812AF3" w:rsidRPr="003C1E20" w:rsidRDefault="00812AF3" w:rsidP="006E517E">
            <w:pPr>
              <w:rPr>
                <w:rFonts w:cs="Segoe UI"/>
                <w:b w:val="0"/>
                <w:sz w:val="18"/>
                <w:szCs w:val="18"/>
              </w:rPr>
            </w:pPr>
            <w:r w:rsidRPr="003C1E20">
              <w:rPr>
                <w:rFonts w:cs="Segoe UI"/>
                <w:b w:val="0"/>
                <w:sz w:val="18"/>
                <w:szCs w:val="18"/>
              </w:rPr>
              <w:t>Credit guarantee program for inventory financing facilities</w:t>
            </w:r>
          </w:p>
        </w:tc>
        <w:tc>
          <w:tcPr>
            <w:tcW w:w="1890" w:type="dxa"/>
            <w:vAlign w:val="center"/>
          </w:tcPr>
          <w:p w14:paraId="716A46A6" w14:textId="460898B9"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$ 3.6</w:t>
            </w:r>
            <w:r w:rsidR="00812AF3" w:rsidRPr="006A3F56">
              <w:rPr>
                <w:rFonts w:cs="Segoe UI"/>
                <w:sz w:val="18"/>
                <w:szCs w:val="18"/>
              </w:rPr>
              <w:t xml:space="preserve"> million</w:t>
            </w:r>
          </w:p>
        </w:tc>
      </w:tr>
      <w:tr w:rsidR="00812AF3" w:rsidRPr="00523A68" w14:paraId="1B7CC61B"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51EE723C" w14:textId="21D9030E" w:rsidR="00812AF3" w:rsidRPr="003C1E20" w:rsidRDefault="003C1E20" w:rsidP="006E517E">
            <w:pPr>
              <w:rPr>
                <w:rFonts w:cs="Segoe UI"/>
                <w:b w:val="0"/>
                <w:sz w:val="18"/>
                <w:szCs w:val="18"/>
              </w:rPr>
            </w:pPr>
            <w:r w:rsidRPr="003C1E20">
              <w:rPr>
                <w:rFonts w:cs="Segoe UI"/>
                <w:b w:val="0"/>
                <w:sz w:val="18"/>
                <w:szCs w:val="18"/>
              </w:rPr>
              <w:t>Consumer loan financing facility for household systems</w:t>
            </w:r>
          </w:p>
        </w:tc>
        <w:tc>
          <w:tcPr>
            <w:tcW w:w="1890" w:type="dxa"/>
            <w:vAlign w:val="center"/>
          </w:tcPr>
          <w:p w14:paraId="43A13BB7" w14:textId="4832A4FE"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$ 1.2</w:t>
            </w:r>
            <w:r w:rsidR="003C1E20" w:rsidRPr="006A3F56">
              <w:rPr>
                <w:rFonts w:cs="Segoe UI"/>
                <w:sz w:val="18"/>
                <w:szCs w:val="18"/>
              </w:rPr>
              <w:t xml:space="preserve"> million</w:t>
            </w:r>
          </w:p>
        </w:tc>
      </w:tr>
      <w:tr w:rsidR="00812AF3" w:rsidRPr="00523A68" w14:paraId="6B5DC038"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34E392CE" w14:textId="520BF781" w:rsidR="00812AF3" w:rsidRPr="003C1E20" w:rsidRDefault="003C1E20" w:rsidP="006E517E">
            <w:pPr>
              <w:rPr>
                <w:rFonts w:cs="Segoe UI"/>
                <w:b w:val="0"/>
                <w:sz w:val="18"/>
                <w:szCs w:val="18"/>
              </w:rPr>
            </w:pPr>
            <w:r w:rsidRPr="003C1E20">
              <w:rPr>
                <w:rFonts w:cs="Segoe UI"/>
                <w:b w:val="0"/>
                <w:sz w:val="18"/>
                <w:szCs w:val="18"/>
              </w:rPr>
              <w:t>Consumer loan financing facility for solar pumping kits</w:t>
            </w:r>
          </w:p>
        </w:tc>
        <w:tc>
          <w:tcPr>
            <w:tcW w:w="1890" w:type="dxa"/>
            <w:vAlign w:val="center"/>
          </w:tcPr>
          <w:p w14:paraId="1983ABAD" w14:textId="3DF5E0E9"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$ 0.5</w:t>
            </w:r>
            <w:r w:rsidR="003C1E20" w:rsidRPr="006A3F56">
              <w:rPr>
                <w:rFonts w:cs="Segoe UI"/>
                <w:sz w:val="18"/>
                <w:szCs w:val="18"/>
              </w:rPr>
              <w:t xml:space="preserve"> million</w:t>
            </w:r>
          </w:p>
        </w:tc>
      </w:tr>
      <w:tr w:rsidR="00812AF3" w:rsidRPr="00523A68" w14:paraId="3F79BCE2"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6D5160D8" w14:textId="4DB18511" w:rsidR="00812AF3" w:rsidRPr="003C1E20" w:rsidRDefault="003C1E20" w:rsidP="006E517E">
            <w:pPr>
              <w:rPr>
                <w:rFonts w:cs="Segoe UI"/>
                <w:b w:val="0"/>
                <w:sz w:val="18"/>
                <w:szCs w:val="18"/>
              </w:rPr>
            </w:pPr>
            <w:r w:rsidRPr="003C1E20">
              <w:rPr>
                <w:rFonts w:cs="Segoe UI"/>
                <w:b w:val="0"/>
                <w:sz w:val="18"/>
                <w:szCs w:val="18"/>
              </w:rPr>
              <w:t>Credit guarantee program for consumer loan financing facilities</w:t>
            </w:r>
          </w:p>
        </w:tc>
        <w:tc>
          <w:tcPr>
            <w:tcW w:w="1890" w:type="dxa"/>
            <w:vAlign w:val="center"/>
          </w:tcPr>
          <w:p w14:paraId="65FD3F7E" w14:textId="0C04F969" w:rsidR="00812AF3" w:rsidRPr="006A3F56" w:rsidRDefault="001503BB" w:rsidP="006E517E">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6A3F56">
              <w:rPr>
                <w:rFonts w:cs="Segoe UI"/>
                <w:sz w:val="18"/>
                <w:szCs w:val="18"/>
              </w:rPr>
              <w:t>US $ 2.0</w:t>
            </w:r>
            <w:r w:rsidR="003C1E20" w:rsidRPr="006A3F56">
              <w:rPr>
                <w:rFonts w:cs="Segoe UI"/>
                <w:sz w:val="18"/>
                <w:szCs w:val="18"/>
              </w:rPr>
              <w:t xml:space="preserve"> million</w:t>
            </w:r>
          </w:p>
        </w:tc>
      </w:tr>
      <w:tr w:rsidR="00812AF3" w:rsidRPr="00523A68" w14:paraId="634D8E95" w14:textId="77777777" w:rsidTr="00A639DD">
        <w:trPr>
          <w:trHeight w:val="432"/>
        </w:trPr>
        <w:tc>
          <w:tcPr>
            <w:cnfStyle w:val="001000000000" w:firstRow="0" w:lastRow="0" w:firstColumn="1" w:lastColumn="0" w:oddVBand="0" w:evenVBand="0" w:oddHBand="0" w:evenHBand="0" w:firstRowFirstColumn="0" w:firstRowLastColumn="0" w:lastRowFirstColumn="0" w:lastRowLastColumn="0"/>
            <w:tcW w:w="5755" w:type="dxa"/>
            <w:vAlign w:val="center"/>
          </w:tcPr>
          <w:p w14:paraId="3C500A76" w14:textId="37D8CD6C" w:rsidR="00812AF3" w:rsidRDefault="003C1E20" w:rsidP="006E517E">
            <w:pPr>
              <w:rPr>
                <w:rFonts w:cs="Segoe UI"/>
                <w:sz w:val="18"/>
                <w:szCs w:val="18"/>
              </w:rPr>
            </w:pPr>
            <w:r>
              <w:rPr>
                <w:rFonts w:cs="Segoe UI"/>
                <w:sz w:val="18"/>
                <w:szCs w:val="18"/>
              </w:rPr>
              <w:t>Total funding requirement</w:t>
            </w:r>
            <w:r>
              <w:rPr>
                <w:rStyle w:val="FootnoteReference"/>
                <w:rFonts w:cs="Segoe UI"/>
                <w:sz w:val="18"/>
                <w:szCs w:val="18"/>
              </w:rPr>
              <w:footnoteReference w:id="77"/>
            </w:r>
          </w:p>
        </w:tc>
        <w:tc>
          <w:tcPr>
            <w:tcW w:w="1890" w:type="dxa"/>
            <w:vAlign w:val="center"/>
          </w:tcPr>
          <w:p w14:paraId="65AE1AF8" w14:textId="271B0DD1" w:rsidR="00812AF3" w:rsidRPr="006A3F56" w:rsidRDefault="003C1E20" w:rsidP="006E517E">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6A3F56">
              <w:rPr>
                <w:rFonts w:cs="Segoe UI"/>
                <w:b/>
                <w:sz w:val="18"/>
                <w:szCs w:val="18"/>
              </w:rPr>
              <w:t>US $ 9</w:t>
            </w:r>
            <w:r w:rsidR="001503BB" w:rsidRPr="006A3F56">
              <w:rPr>
                <w:rFonts w:cs="Segoe UI"/>
                <w:b/>
                <w:sz w:val="18"/>
                <w:szCs w:val="18"/>
              </w:rPr>
              <w:t>.5</w:t>
            </w:r>
            <w:r w:rsidRPr="006A3F56">
              <w:rPr>
                <w:rFonts w:cs="Segoe UI"/>
                <w:b/>
                <w:sz w:val="18"/>
                <w:szCs w:val="18"/>
              </w:rPr>
              <w:t xml:space="preserve"> million</w:t>
            </w:r>
          </w:p>
        </w:tc>
      </w:tr>
    </w:tbl>
    <w:p w14:paraId="212B498D" w14:textId="3468E97C" w:rsidR="00ED52DD" w:rsidRDefault="00EB0D40" w:rsidP="009F1177">
      <w:pPr>
        <w:spacing w:before="360"/>
        <w:jc w:val="both"/>
        <w:rPr>
          <w:rFonts w:cs="Segoe UI"/>
        </w:rPr>
      </w:pPr>
      <w:r>
        <w:rPr>
          <w:rFonts w:cs="Segoe UI"/>
        </w:rPr>
        <w:lastRenderedPageBreak/>
        <w:t xml:space="preserve">In the remainder of this section we discuss these interventions in further detail, and </w:t>
      </w:r>
      <w:r w:rsidR="001A5087">
        <w:rPr>
          <w:rFonts w:cs="Segoe UI"/>
        </w:rPr>
        <w:t xml:space="preserve">provide, where appropriate, further details on the </w:t>
      </w:r>
      <w:r>
        <w:rPr>
          <w:rFonts w:cs="Segoe UI"/>
        </w:rPr>
        <w:t>required s</w:t>
      </w:r>
      <w:r w:rsidR="003D02F2">
        <w:rPr>
          <w:rFonts w:cs="Segoe UI"/>
        </w:rPr>
        <w:t>ize of each</w:t>
      </w:r>
      <w:r w:rsidR="001A5087">
        <w:rPr>
          <w:rFonts w:cs="Segoe UI"/>
        </w:rPr>
        <w:t xml:space="preserve">. </w:t>
      </w:r>
      <w:r w:rsidR="003D02F2">
        <w:rPr>
          <w:rFonts w:cs="Segoe UI"/>
        </w:rPr>
        <w:t xml:space="preserve"> </w:t>
      </w:r>
    </w:p>
    <w:p w14:paraId="1AA6EDDB" w14:textId="56BC2265" w:rsidR="002D5483" w:rsidRPr="00955049" w:rsidRDefault="002D5483" w:rsidP="00955049">
      <w:pPr>
        <w:pStyle w:val="H2NEWreportStyle"/>
      </w:pPr>
      <w:bookmarkStart w:id="174" w:name="_Toc501097050"/>
      <w:r w:rsidRPr="00955049">
        <w:t>Overarching systemic interventions</w:t>
      </w:r>
      <w:bookmarkEnd w:id="174"/>
    </w:p>
    <w:p w14:paraId="6B89752A" w14:textId="77777777" w:rsidR="00EB0D40" w:rsidRDefault="00EB0D40" w:rsidP="00EB0D40">
      <w:pPr>
        <w:jc w:val="both"/>
        <w:rPr>
          <w:rFonts w:cs="Segoe UI"/>
        </w:rPr>
      </w:pPr>
      <w:r>
        <w:rPr>
          <w:rFonts w:cs="Segoe UI"/>
        </w:rPr>
        <w:t>Currently, regulatory factors and an underdeveloped ecosystem to support the solar industry create substantial challenges for solar companies operating in Niger. Consultations revealed that solar companies in Niger nearly exclusively focus on serving public and development sector contracts, and often have little to no experience in serving the needs of private households, especially outside of urban areas. In this section, we recommend interventions to strengthen the entire market landscape, including policy changes, consumer education, and technical assistance.</w:t>
      </w:r>
    </w:p>
    <w:p w14:paraId="1360CD96" w14:textId="08A0AC25" w:rsidR="00EB0D40" w:rsidRPr="007D41A1" w:rsidRDefault="00EB0D40" w:rsidP="00EB0D40">
      <w:pPr>
        <w:jc w:val="both"/>
        <w:rPr>
          <w:rFonts w:cs="Segoe UI"/>
        </w:rPr>
      </w:pPr>
      <w:r w:rsidRPr="00A61D1C">
        <w:rPr>
          <w:rFonts w:cs="Segoe UI"/>
          <w:b/>
        </w:rPr>
        <w:t>Tax exemptions on solar technology</w:t>
      </w:r>
      <w:r>
        <w:rPr>
          <w:rFonts w:cs="Segoe UI"/>
          <w:b/>
        </w:rPr>
        <w:t xml:space="preserve">. </w:t>
      </w:r>
      <w:r>
        <w:rPr>
          <w:rFonts w:cs="Segoe UI"/>
        </w:rPr>
        <w:t>U</w:t>
      </w:r>
      <w:r w:rsidRPr="002D07CB">
        <w:rPr>
          <w:rFonts w:cs="Segoe UI"/>
        </w:rPr>
        <w:t>nanimously</w:t>
      </w:r>
      <w:r>
        <w:rPr>
          <w:rFonts w:cs="Segoe UI"/>
        </w:rPr>
        <w:t xml:space="preserve"> in all consultations, we heard that the </w:t>
      </w:r>
      <w:r w:rsidR="00B215F7">
        <w:rPr>
          <w:rFonts w:cs="Segoe UI"/>
        </w:rPr>
        <w:t xml:space="preserve">high taxes and </w:t>
      </w:r>
      <w:r>
        <w:rPr>
          <w:rFonts w:cs="Segoe UI"/>
        </w:rPr>
        <w:t xml:space="preserve">duties applied to solar products at importation have a disastrous effect on the market, driving up prices in a market which is anyway severely constrained by lacking purchasing power on the demand side. In addition, this direct cost increase makes it even harder for the formal sector to compete with the untaxed, low prices offered in the informal markets on illegal imports. If products are exempt of duties and VAT, the lower cost can be passed through to end consumers. Given current income levels in Niger, tax exemptions on all solar technologies appear key to making products affordable, and allowing companies to make sufficient margin to achieve </w:t>
      </w:r>
      <w:r w:rsidRPr="007D41A1">
        <w:rPr>
          <w:rFonts w:cs="Segoe UI"/>
        </w:rPr>
        <w:t>sustainability.</w:t>
      </w:r>
      <w:r w:rsidR="000405CE" w:rsidRPr="007D41A1">
        <w:rPr>
          <w:rFonts w:cs="Segoe UI"/>
        </w:rPr>
        <w:t xml:space="preserve"> In the meantime, until tax exemptions have been enforced, APE Solaire members can import up to 1,260,000 units of specified Lighting Africa-approved solar lanterns and solar home systems</w:t>
      </w:r>
      <w:r w:rsidR="00E91507" w:rsidRPr="007D41A1">
        <w:rPr>
          <w:rFonts w:cs="Segoe UI"/>
        </w:rPr>
        <w:t xml:space="preserve"> exempt of customs duti</w:t>
      </w:r>
      <w:r w:rsidR="007F3108" w:rsidRPr="007D41A1">
        <w:rPr>
          <w:rFonts w:cs="Segoe UI"/>
        </w:rPr>
        <w:t>es based on an agreement between the Ministry of Finance and SNV signed in March 2014.</w:t>
      </w:r>
      <w:r w:rsidR="000405CE" w:rsidRPr="007D41A1">
        <w:rPr>
          <w:rFonts w:cs="Segoe UI"/>
        </w:rPr>
        <w:t xml:space="preserve"> </w:t>
      </w:r>
    </w:p>
    <w:p w14:paraId="03BBBAC1" w14:textId="77777777" w:rsidR="00EB0D40" w:rsidRDefault="00EB0D40" w:rsidP="00EB0D40">
      <w:pPr>
        <w:jc w:val="both"/>
        <w:rPr>
          <w:rFonts w:cs="Segoe UI"/>
        </w:rPr>
      </w:pPr>
      <w:r w:rsidRPr="007D41A1">
        <w:rPr>
          <w:rFonts w:cs="Segoe UI"/>
          <w:b/>
        </w:rPr>
        <w:t>Consumer education programs.</w:t>
      </w:r>
      <w:r w:rsidRPr="007D41A1">
        <w:rPr>
          <w:rFonts w:cs="Segoe UI"/>
        </w:rPr>
        <w:t xml:space="preserve"> As experienced</w:t>
      </w:r>
      <w:r>
        <w:rPr>
          <w:rFonts w:cs="Segoe UI"/>
        </w:rPr>
        <w:t xml:space="preserve"> in many African countries, illegal imports of sub-standard solar products have scarred the broad perception of solar products. This market spoilage was confirmed by consultations and our focus groups in Niamey, Maradi and Tahoua. While most consumers, even in rural areas, seem to know of solar lights, solar products are perceived as expensive, unreliable, and low quality; also, e.g. health benefits – as compared to kerosene lamps or candles - are not really understood. Purchase decisions are mainly driven by price, as no brand or certification standard has established itself as reliable in the minds of consumers. Therefore, widespread national multi-channel campaigns are needed to educate consumers on the benefits of solar, which brands to rely on, and help overcome negative perceptions. </w:t>
      </w:r>
    </w:p>
    <w:p w14:paraId="4EBCCC6B" w14:textId="57A1ACDB" w:rsidR="001C587C" w:rsidRDefault="00EB0D40" w:rsidP="00EB0D40">
      <w:pPr>
        <w:jc w:val="both"/>
        <w:rPr>
          <w:rFonts w:cs="Segoe UI"/>
        </w:rPr>
      </w:pPr>
      <w:r w:rsidRPr="00A1161D">
        <w:rPr>
          <w:rFonts w:cs="Segoe UI"/>
          <w:b/>
        </w:rPr>
        <w:t>Technical assistance.</w:t>
      </w:r>
      <w:r>
        <w:rPr>
          <w:rFonts w:cs="Segoe UI"/>
        </w:rPr>
        <w:t xml:space="preserve"> Currently, the market environment is very challenging for solar companies. The government enforces high import duties on solar products, and there is no market protection through industry standards and licensing processes. Financial institutions are essentially only willing to offer financing to long-standing, affluent customers, and only against high collateralization. Solar companies have limited access to quality advisory services, and often face language barriers when trying to learn from other countries’ experiences and innovations. Consultations frequently revealed, that solar technicians are sparse, and therefore solar businesses need to send out teams from Niamey for any installation and maintenance work. Uptake of asset </w:t>
      </w:r>
      <w:r w:rsidRPr="007D41A1">
        <w:rPr>
          <w:rFonts w:cs="Segoe UI"/>
        </w:rPr>
        <w:t xml:space="preserve">financing schemes with mobile money integration is limited by the geographic reach of the mobile phone network, and especially mobile money adoption. To </w:t>
      </w:r>
      <w:r w:rsidRPr="007D41A1">
        <w:rPr>
          <w:rFonts w:cs="Segoe UI"/>
        </w:rPr>
        <w:lastRenderedPageBreak/>
        <w:t xml:space="preserve">make the Nigerien solar market conducive, and more attractive to foreign investment, we recommend the provision of technical assistance to </w:t>
      </w:r>
      <w:r w:rsidR="005A6EFE" w:rsidRPr="007D41A1">
        <w:rPr>
          <w:rFonts w:cs="Segoe UI"/>
        </w:rPr>
        <w:t xml:space="preserve">the government, financial institutions, MNOs, solar businesses, and solar technicians; further details are provided in </w:t>
      </w:r>
      <w:r w:rsidR="00F146C6" w:rsidRPr="007D41A1">
        <w:rPr>
          <w:rFonts w:cs="Segoe UI"/>
        </w:rPr>
        <w:fldChar w:fldCharType="begin"/>
      </w:r>
      <w:r w:rsidR="00F146C6" w:rsidRPr="007D41A1">
        <w:rPr>
          <w:rFonts w:cs="Segoe UI"/>
        </w:rPr>
        <w:instrText xml:space="preserve"> REF _Ref485826118 \h </w:instrText>
      </w:r>
      <w:r w:rsidR="007D41A1">
        <w:rPr>
          <w:rFonts w:cs="Segoe UI"/>
        </w:rPr>
        <w:instrText xml:space="preserve"> \* MERGEFORMAT </w:instrText>
      </w:r>
      <w:r w:rsidR="00F146C6" w:rsidRPr="007D41A1">
        <w:rPr>
          <w:rFonts w:cs="Segoe UI"/>
        </w:rPr>
      </w:r>
      <w:r w:rsidR="00F146C6" w:rsidRPr="007D41A1">
        <w:rPr>
          <w:rFonts w:cs="Segoe UI"/>
        </w:rPr>
        <w:fldChar w:fldCharType="separate"/>
      </w:r>
      <w:r w:rsidR="000D1C35" w:rsidRPr="007D41A1">
        <w:t xml:space="preserve">Table </w:t>
      </w:r>
      <w:r w:rsidR="000D1C35">
        <w:rPr>
          <w:noProof/>
        </w:rPr>
        <w:t>30</w:t>
      </w:r>
      <w:r w:rsidR="00F146C6" w:rsidRPr="007D41A1">
        <w:rPr>
          <w:rFonts w:cs="Segoe UI"/>
        </w:rPr>
        <w:fldChar w:fldCharType="end"/>
      </w:r>
      <w:r w:rsidR="00F146C6" w:rsidRPr="007D41A1">
        <w:rPr>
          <w:rFonts w:cs="Segoe UI"/>
        </w:rPr>
        <w:t>.</w:t>
      </w:r>
      <w:r w:rsidR="005A6EFE" w:rsidRPr="007D41A1">
        <w:rPr>
          <w:rFonts w:cs="Segoe UI"/>
        </w:rPr>
        <w:t xml:space="preserve"> </w:t>
      </w:r>
    </w:p>
    <w:p w14:paraId="6AF6A329" w14:textId="766008D6" w:rsidR="00687080" w:rsidRDefault="00687080" w:rsidP="00EB0D40">
      <w:pPr>
        <w:jc w:val="both"/>
        <w:rPr>
          <w:rFonts w:cs="Segoe UI"/>
        </w:rPr>
      </w:pPr>
    </w:p>
    <w:p w14:paraId="5D3FF632" w14:textId="0851B649" w:rsidR="00687080" w:rsidRDefault="00687080" w:rsidP="00EB0D40">
      <w:pPr>
        <w:jc w:val="both"/>
        <w:rPr>
          <w:rFonts w:cs="Segoe UI"/>
        </w:rPr>
      </w:pPr>
    </w:p>
    <w:p w14:paraId="41CAB39C" w14:textId="08AA41E9" w:rsidR="00687080" w:rsidRDefault="00687080" w:rsidP="00EB0D40">
      <w:pPr>
        <w:jc w:val="both"/>
        <w:rPr>
          <w:rFonts w:cs="Segoe UI"/>
        </w:rPr>
      </w:pPr>
    </w:p>
    <w:p w14:paraId="06AF3EDF" w14:textId="77777777" w:rsidR="00687080" w:rsidRPr="007D41A1" w:rsidRDefault="00687080" w:rsidP="00EB0D40">
      <w:pPr>
        <w:jc w:val="both"/>
        <w:rPr>
          <w:rFonts w:cs="Segoe UI"/>
        </w:rPr>
      </w:pPr>
    </w:p>
    <w:p w14:paraId="76B03A61" w14:textId="48E97487" w:rsidR="005E46A4" w:rsidRDefault="005E46A4" w:rsidP="005E46A4">
      <w:pPr>
        <w:pStyle w:val="Caption"/>
      </w:pPr>
      <w:bookmarkStart w:id="175" w:name="_Ref485826118"/>
      <w:bookmarkStart w:id="176" w:name="_Toc500969394"/>
      <w:r w:rsidRPr="007D41A1">
        <w:t xml:space="preserve">Table </w:t>
      </w:r>
      <w:fldSimple w:instr=" SEQ Table \* ARABIC ">
        <w:r w:rsidR="000D1C35">
          <w:rPr>
            <w:noProof/>
          </w:rPr>
          <w:t>30</w:t>
        </w:r>
      </w:fldSimple>
      <w:bookmarkEnd w:id="175"/>
      <w:r w:rsidRPr="007D41A1">
        <w:t>: Recommended areas for provision of technical assistance</w:t>
      </w:r>
      <w:bookmarkEnd w:id="176"/>
    </w:p>
    <w:tbl>
      <w:tblPr>
        <w:tblStyle w:val="GridTable6Colorful"/>
        <w:tblW w:w="0" w:type="auto"/>
        <w:tblCellMar>
          <w:top w:w="58" w:type="dxa"/>
          <w:left w:w="144" w:type="dxa"/>
          <w:bottom w:w="58" w:type="dxa"/>
          <w:right w:w="144" w:type="dxa"/>
        </w:tblCellMar>
        <w:tblLook w:val="04A0" w:firstRow="1" w:lastRow="0" w:firstColumn="1" w:lastColumn="0" w:noHBand="0" w:noVBand="1"/>
      </w:tblPr>
      <w:tblGrid>
        <w:gridCol w:w="1435"/>
        <w:gridCol w:w="2340"/>
        <w:gridCol w:w="5575"/>
      </w:tblGrid>
      <w:tr w:rsidR="001C587C" w:rsidRPr="00EC0016" w14:paraId="5374D8F7" w14:textId="77777777" w:rsidTr="00D075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tcPr>
          <w:p w14:paraId="5CBBA47C" w14:textId="7890FF0F" w:rsidR="001C587C" w:rsidRPr="00EC0016" w:rsidRDefault="00EB50D0" w:rsidP="001305E3">
            <w:pPr>
              <w:rPr>
                <w:sz w:val="18"/>
                <w:szCs w:val="18"/>
              </w:rPr>
            </w:pPr>
            <w:r>
              <w:rPr>
                <w:sz w:val="18"/>
                <w:szCs w:val="18"/>
              </w:rPr>
              <w:t>TA r</w:t>
            </w:r>
            <w:r w:rsidR="00625C73">
              <w:rPr>
                <w:sz w:val="18"/>
                <w:szCs w:val="18"/>
              </w:rPr>
              <w:t>ecipient</w:t>
            </w:r>
          </w:p>
        </w:tc>
        <w:tc>
          <w:tcPr>
            <w:tcW w:w="2340" w:type="dxa"/>
          </w:tcPr>
          <w:p w14:paraId="25A20669" w14:textId="39396D99" w:rsidR="001C587C" w:rsidRPr="00EC0016" w:rsidRDefault="002B32D5" w:rsidP="001305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Purpose of TA</w:t>
            </w:r>
          </w:p>
        </w:tc>
        <w:tc>
          <w:tcPr>
            <w:tcW w:w="5575" w:type="dxa"/>
          </w:tcPr>
          <w:p w14:paraId="53DCAA0F" w14:textId="77777777" w:rsidR="001C587C" w:rsidRPr="00EC0016" w:rsidRDefault="001C587C" w:rsidP="001305E3">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Rationale (in short)</w:t>
            </w:r>
          </w:p>
        </w:tc>
      </w:tr>
      <w:tr w:rsidR="001C587C" w:rsidRPr="00EC0016" w14:paraId="77BC07AC" w14:textId="77777777" w:rsidTr="00D07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4B45B90" w14:textId="2DB66467" w:rsidR="001C587C" w:rsidRPr="00542C2C" w:rsidRDefault="00625C73" w:rsidP="001305E3">
            <w:pPr>
              <w:spacing w:after="60"/>
              <w:rPr>
                <w:sz w:val="18"/>
                <w:szCs w:val="18"/>
              </w:rPr>
            </w:pPr>
            <w:r>
              <w:rPr>
                <w:sz w:val="18"/>
                <w:szCs w:val="18"/>
              </w:rPr>
              <w:t>Government</w:t>
            </w:r>
          </w:p>
        </w:tc>
        <w:tc>
          <w:tcPr>
            <w:tcW w:w="2340" w:type="dxa"/>
          </w:tcPr>
          <w:p w14:paraId="5629895D" w14:textId="20F56A63" w:rsidR="001C587C" w:rsidRPr="00542C2C" w:rsidRDefault="002B32D5"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00625C73">
              <w:rPr>
                <w:sz w:val="18"/>
                <w:szCs w:val="18"/>
              </w:rPr>
              <w:t xml:space="preserve">trengthen the regulatory environment, with a focus on </w:t>
            </w:r>
            <w:r w:rsidR="00625C73" w:rsidRPr="00AF117D">
              <w:rPr>
                <w:sz w:val="18"/>
                <w:szCs w:val="18"/>
              </w:rPr>
              <w:t>import regulation</w:t>
            </w:r>
            <w:r w:rsidR="00625C73">
              <w:rPr>
                <w:sz w:val="18"/>
                <w:szCs w:val="18"/>
              </w:rPr>
              <w:t xml:space="preserve">, </w:t>
            </w:r>
            <w:r w:rsidR="00625C73" w:rsidRPr="00AF117D">
              <w:rPr>
                <w:sz w:val="18"/>
                <w:szCs w:val="18"/>
              </w:rPr>
              <w:t>industry standards</w:t>
            </w:r>
            <w:r w:rsidR="00625C73">
              <w:rPr>
                <w:sz w:val="18"/>
                <w:szCs w:val="18"/>
              </w:rPr>
              <w:t xml:space="preserve"> and licensing processes</w:t>
            </w:r>
          </w:p>
        </w:tc>
        <w:tc>
          <w:tcPr>
            <w:tcW w:w="5575" w:type="dxa"/>
          </w:tcPr>
          <w:p w14:paraId="05FE7832" w14:textId="3E6F1106" w:rsidR="00362FDD" w:rsidRDefault="00362FDD"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Currently, the market is flo</w:t>
            </w:r>
            <w:r w:rsidR="00316507">
              <w:rPr>
                <w:sz w:val="18"/>
                <w:szCs w:val="18"/>
              </w:rPr>
              <w:t>oded with sub-standard products –</w:t>
            </w:r>
            <w:r w:rsidR="00BC7CFF">
              <w:rPr>
                <w:sz w:val="18"/>
                <w:szCs w:val="18"/>
              </w:rPr>
              <w:t xml:space="preserve"> solar lanterns, solar home sys</w:t>
            </w:r>
            <w:r w:rsidR="00316507">
              <w:rPr>
                <w:sz w:val="18"/>
                <w:szCs w:val="18"/>
              </w:rPr>
              <w:t>tems, and solar pumps –</w:t>
            </w:r>
            <w:r w:rsidR="00BC7CFF">
              <w:rPr>
                <w:sz w:val="18"/>
                <w:szCs w:val="18"/>
              </w:rPr>
              <w:t xml:space="preserve"> </w:t>
            </w:r>
            <w:r>
              <w:rPr>
                <w:sz w:val="18"/>
                <w:szCs w:val="18"/>
              </w:rPr>
              <w:t>that are damaging consumer perceptions of solar</w:t>
            </w:r>
          </w:p>
          <w:p w14:paraId="24B1771A" w14:textId="167BE220" w:rsidR="001C587C" w:rsidRDefault="00316507"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With price sensitive end-</w:t>
            </w:r>
            <w:r w:rsidR="00362FDD">
              <w:rPr>
                <w:sz w:val="18"/>
                <w:szCs w:val="18"/>
              </w:rPr>
              <w:t xml:space="preserve">consumers, it becomes very hard for formal players to compete with </w:t>
            </w:r>
            <w:r w:rsidR="0032532C">
              <w:rPr>
                <w:sz w:val="18"/>
                <w:szCs w:val="18"/>
              </w:rPr>
              <w:t xml:space="preserve">the low prices of </w:t>
            </w:r>
            <w:r w:rsidR="00F146C6">
              <w:rPr>
                <w:sz w:val="18"/>
                <w:szCs w:val="18"/>
              </w:rPr>
              <w:t>effectively</w:t>
            </w:r>
            <w:r w:rsidR="0032532C">
              <w:rPr>
                <w:sz w:val="18"/>
                <w:szCs w:val="18"/>
              </w:rPr>
              <w:t xml:space="preserve"> duty-free illegal imports</w:t>
            </w:r>
            <w:r>
              <w:rPr>
                <w:sz w:val="18"/>
                <w:szCs w:val="18"/>
              </w:rPr>
              <w:t xml:space="preserve"> </w:t>
            </w:r>
            <w:r w:rsidR="00057F28">
              <w:rPr>
                <w:sz w:val="18"/>
                <w:szCs w:val="18"/>
              </w:rPr>
              <w:t>sold in informal markets</w:t>
            </w:r>
          </w:p>
          <w:p w14:paraId="4B52E378" w14:textId="40E8F87B" w:rsidR="0032532C" w:rsidRDefault="0032532C"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Industry standards, such as IEC or the Lighting Africa minimum quality standard,</w:t>
            </w:r>
            <w:r w:rsidR="00561164">
              <w:rPr>
                <w:sz w:val="18"/>
                <w:szCs w:val="18"/>
              </w:rPr>
              <w:t xml:space="preserve"> </w:t>
            </w:r>
            <w:r>
              <w:rPr>
                <w:sz w:val="18"/>
                <w:szCs w:val="18"/>
              </w:rPr>
              <w:t xml:space="preserve">need to be adopted in national law to protect consumers from sub-standard </w:t>
            </w:r>
            <w:r w:rsidR="00316507">
              <w:rPr>
                <w:sz w:val="18"/>
                <w:szCs w:val="18"/>
              </w:rPr>
              <w:t>products</w:t>
            </w:r>
          </w:p>
          <w:p w14:paraId="12879DC3" w14:textId="08ABE456" w:rsidR="0032532C" w:rsidRPr="00CD715F" w:rsidRDefault="0032532C"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Processes and systems need to be put in place to enforce compliance with product standards and </w:t>
            </w:r>
            <w:r w:rsidR="00561164">
              <w:rPr>
                <w:sz w:val="18"/>
                <w:szCs w:val="18"/>
              </w:rPr>
              <w:t>ensure businesses have the license to operate</w:t>
            </w:r>
            <w:r>
              <w:rPr>
                <w:sz w:val="18"/>
                <w:szCs w:val="18"/>
              </w:rPr>
              <w:t xml:space="preserve"> </w:t>
            </w:r>
          </w:p>
        </w:tc>
      </w:tr>
      <w:tr w:rsidR="001C587C" w:rsidRPr="00EC0016" w14:paraId="366210FD" w14:textId="77777777" w:rsidTr="00D075E1">
        <w:tc>
          <w:tcPr>
            <w:cnfStyle w:val="001000000000" w:firstRow="0" w:lastRow="0" w:firstColumn="1" w:lastColumn="0" w:oddVBand="0" w:evenVBand="0" w:oddHBand="0" w:evenHBand="0" w:firstRowFirstColumn="0" w:firstRowLastColumn="0" w:lastRowFirstColumn="0" w:lastRowLastColumn="0"/>
            <w:tcW w:w="1435" w:type="dxa"/>
          </w:tcPr>
          <w:p w14:paraId="037F366B" w14:textId="145A07B4" w:rsidR="001C587C" w:rsidRPr="00B42631" w:rsidRDefault="00625C73" w:rsidP="001305E3">
            <w:pPr>
              <w:spacing w:after="60"/>
              <w:rPr>
                <w:sz w:val="18"/>
                <w:szCs w:val="18"/>
              </w:rPr>
            </w:pPr>
            <w:r>
              <w:rPr>
                <w:sz w:val="18"/>
                <w:szCs w:val="18"/>
              </w:rPr>
              <w:t>Financial institutions</w:t>
            </w:r>
          </w:p>
        </w:tc>
        <w:tc>
          <w:tcPr>
            <w:tcW w:w="2340" w:type="dxa"/>
          </w:tcPr>
          <w:p w14:paraId="314FB41F" w14:textId="664C2608" w:rsidR="001C587C" w:rsidRPr="00CD715F" w:rsidRDefault="00C243B2" w:rsidP="00C243B2">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C243B2">
              <w:rPr>
                <w:sz w:val="18"/>
                <w:szCs w:val="18"/>
              </w:rPr>
              <w:t>Financial services and credit risk assessment tailored to the needs of diverse solar market companies, from solar lantern distributors to mini-grid operators</w:t>
            </w:r>
          </w:p>
        </w:tc>
        <w:tc>
          <w:tcPr>
            <w:tcW w:w="5575" w:type="dxa"/>
          </w:tcPr>
          <w:p w14:paraId="2AD91781" w14:textId="77777777" w:rsidR="00406120" w:rsidRDefault="001305E3"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Banks lack understanding of the solar market and the associated risk profile</w:t>
            </w:r>
            <w:r w:rsidR="00406120">
              <w:rPr>
                <w:sz w:val="18"/>
                <w:szCs w:val="18"/>
              </w:rPr>
              <w:t>, and are hesitant to lend to businesses or consumers</w:t>
            </w:r>
          </w:p>
          <w:p w14:paraId="773775FB" w14:textId="3A0812C4" w:rsidR="00406120" w:rsidRDefault="00406120"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Credit risk assessments are largely focused on asset securities, and thereby limit lending to startup businesses and consumers</w:t>
            </w:r>
          </w:p>
          <w:p w14:paraId="2B34CBF2" w14:textId="6886B0D3" w:rsidR="00406120" w:rsidRDefault="00406120"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Financial institutions lack awareness of the potential to integrate services with mobile money</w:t>
            </w:r>
          </w:p>
          <w:p w14:paraId="6CF60D1D" w14:textId="1A5869A1" w:rsidR="001C587C" w:rsidRPr="00406120" w:rsidRDefault="00406120" w:rsidP="00406120">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Potential to expand Sharia compliant</w:t>
            </w:r>
            <w:r w:rsidR="00834253">
              <w:rPr>
                <w:sz w:val="18"/>
                <w:szCs w:val="18"/>
              </w:rPr>
              <w:t xml:space="preserve"> financial</w:t>
            </w:r>
            <w:r>
              <w:rPr>
                <w:sz w:val="18"/>
                <w:szCs w:val="18"/>
              </w:rPr>
              <w:t xml:space="preserve"> services</w:t>
            </w:r>
          </w:p>
        </w:tc>
      </w:tr>
      <w:tr w:rsidR="001C587C" w:rsidRPr="00EC0016" w14:paraId="4E31FEE0" w14:textId="77777777" w:rsidTr="00D07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B3292B3" w14:textId="7A70F10E" w:rsidR="001C587C" w:rsidRPr="00B42631" w:rsidRDefault="00625C73" w:rsidP="001305E3">
            <w:pPr>
              <w:spacing w:after="60"/>
              <w:rPr>
                <w:sz w:val="18"/>
                <w:szCs w:val="18"/>
              </w:rPr>
            </w:pPr>
            <w:r w:rsidRPr="00625C73">
              <w:rPr>
                <w:sz w:val="18"/>
                <w:szCs w:val="18"/>
              </w:rPr>
              <w:t>Solar companies</w:t>
            </w:r>
          </w:p>
        </w:tc>
        <w:tc>
          <w:tcPr>
            <w:tcW w:w="2340" w:type="dxa"/>
          </w:tcPr>
          <w:p w14:paraId="79456747" w14:textId="735A7379" w:rsidR="001C587C" w:rsidRPr="00202BBD" w:rsidRDefault="00625C73" w:rsidP="00202BBD">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625C73">
              <w:rPr>
                <w:sz w:val="18"/>
                <w:szCs w:val="18"/>
              </w:rPr>
              <w:t>Best practice transfer from international markets and support in setting up technology platforms for PAYG; incubation and acceleration of early-stage businesses</w:t>
            </w:r>
          </w:p>
        </w:tc>
        <w:tc>
          <w:tcPr>
            <w:tcW w:w="5575" w:type="dxa"/>
          </w:tcPr>
          <w:p w14:paraId="4A689D6C" w14:textId="26DDFA5B" w:rsidR="00577621" w:rsidRDefault="00240FC4" w:rsidP="00240FC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Nigerien solar companies</w:t>
            </w:r>
            <w:r w:rsidR="00577621">
              <w:rPr>
                <w:sz w:val="18"/>
                <w:szCs w:val="18"/>
              </w:rPr>
              <w:t xml:space="preserve"> mainly focus on </w:t>
            </w:r>
            <w:r>
              <w:rPr>
                <w:sz w:val="18"/>
                <w:szCs w:val="18"/>
              </w:rPr>
              <w:t xml:space="preserve">contract work, and </w:t>
            </w:r>
            <w:r w:rsidR="00577621">
              <w:rPr>
                <w:sz w:val="18"/>
                <w:szCs w:val="18"/>
              </w:rPr>
              <w:t>have limited to no experience in serving the market for private households, especially outside urban areas</w:t>
            </w:r>
          </w:p>
          <w:p w14:paraId="1182528C" w14:textId="19D4B831" w:rsidR="001C587C" w:rsidRDefault="000145DC" w:rsidP="00240FC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Limited availability of advisory support</w:t>
            </w:r>
            <w:r w:rsidR="00834253">
              <w:rPr>
                <w:sz w:val="18"/>
                <w:szCs w:val="18"/>
              </w:rPr>
              <w:t>, incubation and acceleration</w:t>
            </w:r>
            <w:r>
              <w:rPr>
                <w:sz w:val="18"/>
                <w:szCs w:val="18"/>
              </w:rPr>
              <w:t xml:space="preserve"> for early-stage businesses in general, and especially solar businesses</w:t>
            </w:r>
          </w:p>
          <w:p w14:paraId="60B23A3E" w14:textId="0575DFC3" w:rsidR="000145DC" w:rsidRDefault="000145DC" w:rsidP="00240FC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Many lessons have been learnt across international markets and can, to some extent, </w:t>
            </w:r>
            <w:r w:rsidR="004C4295">
              <w:rPr>
                <w:sz w:val="18"/>
                <w:szCs w:val="18"/>
              </w:rPr>
              <w:t xml:space="preserve">be transferred to </w:t>
            </w:r>
            <w:r>
              <w:rPr>
                <w:sz w:val="18"/>
                <w:szCs w:val="18"/>
              </w:rPr>
              <w:t>support rapid scaling of the market</w:t>
            </w:r>
          </w:p>
          <w:p w14:paraId="1359686A" w14:textId="77777777" w:rsidR="00AF1206" w:rsidRDefault="000145DC" w:rsidP="00AF1206">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domestic experience in setting up</w:t>
            </w:r>
            <w:r w:rsidR="004C4295">
              <w:rPr>
                <w:sz w:val="18"/>
                <w:szCs w:val="18"/>
              </w:rPr>
              <w:t xml:space="preserve"> and managing</w:t>
            </w:r>
            <w:r>
              <w:rPr>
                <w:sz w:val="18"/>
                <w:szCs w:val="18"/>
              </w:rPr>
              <w:t xml:space="preserve"> technology platforms for PAYG</w:t>
            </w:r>
          </w:p>
          <w:p w14:paraId="45D3174F" w14:textId="4C327799" w:rsidR="00B1403E" w:rsidRPr="00AF1206" w:rsidRDefault="00B1403E" w:rsidP="00AF1206">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International players may require assistance in navigating Nigerien market and regulatory landscape</w:t>
            </w:r>
          </w:p>
        </w:tc>
      </w:tr>
      <w:tr w:rsidR="001C587C" w:rsidRPr="00EC0016" w14:paraId="0801D4BE" w14:textId="77777777" w:rsidTr="00D075E1">
        <w:tc>
          <w:tcPr>
            <w:cnfStyle w:val="001000000000" w:firstRow="0" w:lastRow="0" w:firstColumn="1" w:lastColumn="0" w:oddVBand="0" w:evenVBand="0" w:oddHBand="0" w:evenHBand="0" w:firstRowFirstColumn="0" w:firstRowLastColumn="0" w:lastRowFirstColumn="0" w:lastRowLastColumn="0"/>
            <w:tcW w:w="1435" w:type="dxa"/>
          </w:tcPr>
          <w:p w14:paraId="4E139492" w14:textId="175135A0" w:rsidR="001C587C" w:rsidRDefault="00625C73" w:rsidP="001305E3">
            <w:pPr>
              <w:spacing w:after="60"/>
              <w:rPr>
                <w:sz w:val="18"/>
                <w:szCs w:val="18"/>
              </w:rPr>
            </w:pPr>
            <w:r>
              <w:rPr>
                <w:sz w:val="18"/>
                <w:szCs w:val="18"/>
              </w:rPr>
              <w:t>MNOs</w:t>
            </w:r>
          </w:p>
        </w:tc>
        <w:tc>
          <w:tcPr>
            <w:tcW w:w="2340" w:type="dxa"/>
          </w:tcPr>
          <w:p w14:paraId="3E1993C6" w14:textId="57736F6D" w:rsidR="001C587C" w:rsidRPr="00AF1206" w:rsidRDefault="001C587C" w:rsidP="00AF1206">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Best practice transfer regarding platforms, interfaces, and market </w:t>
            </w:r>
            <w:r>
              <w:rPr>
                <w:sz w:val="18"/>
                <w:szCs w:val="18"/>
              </w:rPr>
              <w:lastRenderedPageBreak/>
              <w:t>development from international markets</w:t>
            </w:r>
          </w:p>
        </w:tc>
        <w:tc>
          <w:tcPr>
            <w:tcW w:w="5575" w:type="dxa"/>
          </w:tcPr>
          <w:p w14:paraId="2F00544B" w14:textId="779C88E5" w:rsidR="00AF1206" w:rsidRDefault="00AF1206"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Significant opportunity to enhance the mobile money proposition for retailers and mobile money users to stimulate broader uptake</w:t>
            </w:r>
          </w:p>
          <w:p w14:paraId="4B3CB426" w14:textId="588458F5" w:rsidR="002D4B13" w:rsidRDefault="002D4B13"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Opportunity to support MNOs</w:t>
            </w:r>
            <w:r w:rsidR="00A861E3">
              <w:rPr>
                <w:sz w:val="18"/>
                <w:szCs w:val="18"/>
              </w:rPr>
              <w:t xml:space="preserve"> in</w:t>
            </w:r>
            <w:r>
              <w:rPr>
                <w:sz w:val="18"/>
                <w:szCs w:val="18"/>
              </w:rPr>
              <w:t xml:space="preserve"> develop</w:t>
            </w:r>
            <w:r w:rsidR="00A861E3">
              <w:rPr>
                <w:sz w:val="18"/>
                <w:szCs w:val="18"/>
              </w:rPr>
              <w:t>ing</w:t>
            </w:r>
            <w:r>
              <w:rPr>
                <w:sz w:val="18"/>
                <w:szCs w:val="18"/>
              </w:rPr>
              <w:t xml:space="preserve"> sales and distribution networks, especially to rural areas, and explore the potential for strategic partnerships</w:t>
            </w:r>
          </w:p>
          <w:p w14:paraId="54B07309" w14:textId="2AD45652" w:rsidR="001C587C" w:rsidRDefault="007C1D27" w:rsidP="001305E3">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7C1D27">
              <w:rPr>
                <w:sz w:val="18"/>
                <w:szCs w:val="18"/>
              </w:rPr>
              <w:t>Limited access to quality advisory services</w:t>
            </w:r>
            <w:r w:rsidR="00AF1206">
              <w:rPr>
                <w:sz w:val="18"/>
                <w:szCs w:val="18"/>
              </w:rPr>
              <w:t xml:space="preserve"> results in </w:t>
            </w:r>
            <w:r w:rsidRPr="007C1D27">
              <w:rPr>
                <w:sz w:val="18"/>
                <w:szCs w:val="18"/>
              </w:rPr>
              <w:t>lacking support to leverage technology and innovations already piloted and successfully rolled out in other SSA markets</w:t>
            </w:r>
          </w:p>
          <w:p w14:paraId="1439C9DD" w14:textId="79D70067" w:rsidR="007C1D27" w:rsidRPr="00755D9D" w:rsidRDefault="00755D9D" w:rsidP="00755D9D">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Opportunity to develop platforms for </w:t>
            </w:r>
            <w:r w:rsidR="00AF1206" w:rsidRPr="00AF1206">
              <w:rPr>
                <w:sz w:val="18"/>
                <w:szCs w:val="18"/>
              </w:rPr>
              <w:t>low-cost direct interfaces to the financial sector</w:t>
            </w:r>
            <w:r>
              <w:rPr>
                <w:sz w:val="18"/>
                <w:szCs w:val="18"/>
              </w:rPr>
              <w:t xml:space="preserve"> and the networks of other MNOs</w:t>
            </w:r>
          </w:p>
        </w:tc>
      </w:tr>
      <w:tr w:rsidR="00625C73" w:rsidRPr="00EC0016" w14:paraId="45220FA1" w14:textId="77777777" w:rsidTr="00D07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7E886D45" w14:textId="5FD178DC" w:rsidR="00625C73" w:rsidRDefault="009E7B39" w:rsidP="001305E3">
            <w:pPr>
              <w:spacing w:after="60"/>
              <w:rPr>
                <w:sz w:val="18"/>
                <w:szCs w:val="18"/>
              </w:rPr>
            </w:pPr>
            <w:r>
              <w:rPr>
                <w:sz w:val="18"/>
                <w:szCs w:val="18"/>
              </w:rPr>
              <w:lastRenderedPageBreak/>
              <w:t>Technical training &amp; maintenance</w:t>
            </w:r>
          </w:p>
        </w:tc>
        <w:tc>
          <w:tcPr>
            <w:tcW w:w="2340" w:type="dxa"/>
          </w:tcPr>
          <w:p w14:paraId="52D4DA8A" w14:textId="33AD7F73" w:rsidR="00625C73" w:rsidRPr="00AF117D" w:rsidRDefault="00625C73"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Capacity building for nationwide installation and maintenance of solar equipment</w:t>
            </w:r>
          </w:p>
        </w:tc>
        <w:tc>
          <w:tcPr>
            <w:tcW w:w="5575" w:type="dxa"/>
          </w:tcPr>
          <w:p w14:paraId="4BAC09F1" w14:textId="77777777" w:rsidR="00D075E1" w:rsidRDefault="00D95AC9"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D95AC9">
              <w:rPr>
                <w:sz w:val="18"/>
                <w:szCs w:val="18"/>
              </w:rPr>
              <w:t xml:space="preserve">The lack of qualified technicians for installation, service and maintenance </w:t>
            </w:r>
            <w:r>
              <w:rPr>
                <w:sz w:val="18"/>
                <w:szCs w:val="18"/>
              </w:rPr>
              <w:t xml:space="preserve">represents a </w:t>
            </w:r>
            <w:r w:rsidR="00D075E1">
              <w:rPr>
                <w:sz w:val="18"/>
                <w:szCs w:val="18"/>
              </w:rPr>
              <w:t>key constraint to market growth</w:t>
            </w:r>
          </w:p>
          <w:p w14:paraId="5645F244" w14:textId="6FCC899F" w:rsidR="00202BBD" w:rsidRDefault="006748D2"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w:t>
            </w:r>
            <w:r w:rsidR="00202BBD">
              <w:rPr>
                <w:sz w:val="18"/>
                <w:szCs w:val="18"/>
              </w:rPr>
              <w:t>usinesses face considerable costs of sending headquarters staff out nationwide, even for minor maintenance work</w:t>
            </w:r>
          </w:p>
          <w:p w14:paraId="4B5DBE96" w14:textId="57A9F65F" w:rsidR="00202BBD" w:rsidRDefault="009E7B39"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Lack of</w:t>
            </w:r>
            <w:r w:rsidR="00202BBD">
              <w:rPr>
                <w:sz w:val="18"/>
                <w:szCs w:val="18"/>
              </w:rPr>
              <w:t xml:space="preserve"> network of trained, certified solar technicians that solar businesses can leverage for nationwide services</w:t>
            </w:r>
          </w:p>
          <w:p w14:paraId="66BC4C61" w14:textId="7DF3B215" w:rsidR="00202BBD" w:rsidRDefault="00202BBD"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Reputational damage to solar due to sub-</w:t>
            </w:r>
            <w:r w:rsidR="009E7B39">
              <w:rPr>
                <w:sz w:val="18"/>
                <w:szCs w:val="18"/>
              </w:rPr>
              <w:t>standard</w:t>
            </w:r>
            <w:r>
              <w:rPr>
                <w:sz w:val="18"/>
                <w:szCs w:val="18"/>
              </w:rPr>
              <w:t xml:space="preserve"> installation and maintenance services</w:t>
            </w:r>
          </w:p>
          <w:p w14:paraId="4AD0BE51" w14:textId="026FEF2C" w:rsidR="006748D2" w:rsidRDefault="006748D2" w:rsidP="001305E3">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w:t>
            </w:r>
            <w:r w:rsidRPr="006748D2">
              <w:rPr>
                <w:sz w:val="18"/>
                <w:szCs w:val="18"/>
              </w:rPr>
              <w:t>eed for increasing the base of expertise in installation and maintenance of solar systems by providing curriculum development and training</w:t>
            </w:r>
          </w:p>
        </w:tc>
      </w:tr>
    </w:tbl>
    <w:p w14:paraId="30BF5857" w14:textId="68609F6B" w:rsidR="001C587C" w:rsidRDefault="001C587C" w:rsidP="00EB0D40">
      <w:pPr>
        <w:jc w:val="both"/>
        <w:rPr>
          <w:rFonts w:cs="Segoe UI"/>
        </w:rPr>
      </w:pPr>
    </w:p>
    <w:p w14:paraId="40457F59" w14:textId="5BE528BE" w:rsidR="00687080" w:rsidRDefault="00F90ACC" w:rsidP="00875EEC">
      <w:pPr>
        <w:jc w:val="both"/>
        <w:rPr>
          <w:rFonts w:cs="Segoe UI"/>
        </w:rPr>
      </w:pPr>
      <w:r w:rsidRPr="008E3166">
        <w:rPr>
          <w:rFonts w:cs="Segoe UI"/>
        </w:rPr>
        <w:t xml:space="preserve">The </w:t>
      </w:r>
      <w:r w:rsidR="009E7B39" w:rsidRPr="008E3166">
        <w:rPr>
          <w:rFonts w:cs="Segoe UI"/>
        </w:rPr>
        <w:t>lack of</w:t>
      </w:r>
      <w:r w:rsidR="00E4319C" w:rsidRPr="008E3166">
        <w:rPr>
          <w:rFonts w:cs="Segoe UI"/>
        </w:rPr>
        <w:t xml:space="preserve"> access to</w:t>
      </w:r>
      <w:r w:rsidRPr="008E3166">
        <w:rPr>
          <w:rFonts w:cs="Segoe UI"/>
        </w:rPr>
        <w:t xml:space="preserve"> </w:t>
      </w:r>
      <w:r w:rsidR="00672B4A" w:rsidRPr="008E3166">
        <w:rPr>
          <w:rFonts w:cs="Segoe UI"/>
        </w:rPr>
        <w:t>quality advisory services</w:t>
      </w:r>
      <w:r w:rsidR="002900B0" w:rsidRPr="008E3166">
        <w:rPr>
          <w:rFonts w:cs="Segoe UI"/>
        </w:rPr>
        <w:t>, and related affordability constraints,</w:t>
      </w:r>
      <w:r w:rsidR="00672B4A" w:rsidRPr="008E3166">
        <w:rPr>
          <w:rFonts w:cs="Segoe UI"/>
        </w:rPr>
        <w:t xml:space="preserve"> </w:t>
      </w:r>
      <w:r w:rsidR="00E4319C" w:rsidRPr="008E3166">
        <w:rPr>
          <w:rFonts w:cs="Segoe UI"/>
        </w:rPr>
        <w:t xml:space="preserve">can be </w:t>
      </w:r>
      <w:r w:rsidR="009E7B39" w:rsidRPr="008E3166">
        <w:rPr>
          <w:rFonts w:cs="Segoe UI"/>
        </w:rPr>
        <w:t>addressed</w:t>
      </w:r>
      <w:r w:rsidR="00E4319C" w:rsidRPr="008E3166">
        <w:rPr>
          <w:rFonts w:cs="Segoe UI"/>
        </w:rPr>
        <w:t xml:space="preserve"> through the pr</w:t>
      </w:r>
      <w:r w:rsidR="008C0122" w:rsidRPr="008E3166">
        <w:rPr>
          <w:rFonts w:cs="Segoe UI"/>
        </w:rPr>
        <w:t>ovision of technical assistance</w:t>
      </w:r>
      <w:r w:rsidR="008D28E7" w:rsidRPr="008E3166">
        <w:rPr>
          <w:rFonts w:cs="Segoe UI"/>
        </w:rPr>
        <w:t>, and/or the promotion of incubator and</w:t>
      </w:r>
      <w:r w:rsidR="008D28E7" w:rsidRPr="008E3166">
        <w:rPr>
          <w:rFonts w:cs="Segoe UI"/>
          <w:shd w:val="clear" w:color="auto" w:fill="FFFF00"/>
        </w:rPr>
        <w:t xml:space="preserve"> </w:t>
      </w:r>
      <w:r w:rsidR="008D28E7" w:rsidRPr="008E3166">
        <w:rPr>
          <w:rFonts w:cs="Segoe UI"/>
        </w:rPr>
        <w:t xml:space="preserve">other support programs for early-stage entrepreneurs as well as more mature businesses. </w:t>
      </w:r>
      <w:r w:rsidR="008C0122" w:rsidRPr="008E3166">
        <w:rPr>
          <w:rFonts w:cs="Segoe UI"/>
        </w:rPr>
        <w:fldChar w:fldCharType="begin"/>
      </w:r>
      <w:r w:rsidR="008C0122" w:rsidRPr="008E3166">
        <w:rPr>
          <w:rFonts w:cs="Segoe UI"/>
        </w:rPr>
        <w:instrText xml:space="preserve"> REF _Ref485814360 \h </w:instrText>
      </w:r>
      <w:r w:rsidR="0015054B" w:rsidRPr="008E3166">
        <w:rPr>
          <w:rFonts w:cs="Segoe UI"/>
        </w:rPr>
        <w:instrText xml:space="preserve"> \* MERGEFORMAT </w:instrText>
      </w:r>
      <w:r w:rsidR="008C0122" w:rsidRPr="008E3166">
        <w:rPr>
          <w:rFonts w:cs="Segoe UI"/>
        </w:rPr>
      </w:r>
      <w:r w:rsidR="008C0122" w:rsidRPr="008E3166">
        <w:rPr>
          <w:rFonts w:cs="Segoe UI"/>
        </w:rPr>
        <w:fldChar w:fldCharType="separate"/>
      </w:r>
      <w:r w:rsidR="000D1C35" w:rsidRPr="000D1C35">
        <w:rPr>
          <w:rFonts w:cs="Segoe UI"/>
        </w:rPr>
        <w:t>Figure 21</w:t>
      </w:r>
      <w:r w:rsidR="008C0122" w:rsidRPr="008E3166">
        <w:rPr>
          <w:rFonts w:cs="Segoe UI"/>
        </w:rPr>
        <w:fldChar w:fldCharType="end"/>
      </w:r>
      <w:r w:rsidR="008C0122" w:rsidRPr="008E3166">
        <w:rPr>
          <w:rFonts w:cs="Segoe UI"/>
        </w:rPr>
        <w:t xml:space="preserve"> provides the road map to implementation of technical advisory services. In addition, </w:t>
      </w:r>
      <w:r w:rsidR="00E4319C" w:rsidRPr="008E3166">
        <w:rPr>
          <w:rFonts w:cs="Segoe UI"/>
        </w:rPr>
        <w:t xml:space="preserve">example terms of reference (ToR) for technical assistance for (i) solar operators, (ii) MNOs, and (iii) solar technicians are provided in the appendices, </w:t>
      </w:r>
      <w:r w:rsidR="009E7B39" w:rsidRPr="008E3166">
        <w:rPr>
          <w:rFonts w:cs="Segoe UI"/>
        </w:rPr>
        <w:t>showing further details of</w:t>
      </w:r>
      <w:r w:rsidR="00A136EE" w:rsidRPr="008E3166">
        <w:rPr>
          <w:rFonts w:cs="Segoe UI"/>
        </w:rPr>
        <w:t xml:space="preserve"> the type of support and skills </w:t>
      </w:r>
      <w:r w:rsidR="00E4319C" w:rsidRPr="008E3166">
        <w:rPr>
          <w:rFonts w:cs="Segoe UI"/>
        </w:rPr>
        <w:t>required.</w:t>
      </w:r>
    </w:p>
    <w:p w14:paraId="5B3EA559" w14:textId="77777777" w:rsidR="00687080" w:rsidRDefault="00687080">
      <w:pPr>
        <w:rPr>
          <w:rFonts w:cs="Segoe UI"/>
        </w:rPr>
      </w:pPr>
      <w:r>
        <w:rPr>
          <w:rFonts w:cs="Segoe UI"/>
        </w:rPr>
        <w:br w:type="page"/>
      </w:r>
    </w:p>
    <w:p w14:paraId="43CCA37A" w14:textId="5C75ABC6" w:rsidR="008C0122" w:rsidRDefault="008C0122" w:rsidP="00875EEC">
      <w:pPr>
        <w:jc w:val="both"/>
        <w:rPr>
          <w:rFonts w:cs="Segoe UI"/>
        </w:rPr>
      </w:pPr>
      <w:r w:rsidRPr="0015054B">
        <w:rPr>
          <w:noProof/>
        </w:rPr>
        <w:lastRenderedPageBreak/>
        <mc:AlternateContent>
          <mc:Choice Requires="wps">
            <w:drawing>
              <wp:inline distT="0" distB="0" distL="0" distR="0" wp14:anchorId="424DAA77" wp14:editId="3D9D5D5E">
                <wp:extent cx="5925185" cy="219075"/>
                <wp:effectExtent l="0" t="0" r="0" b="9525"/>
                <wp:docPr id="38" name="Text Box 38"/>
                <wp:cNvGraphicFramePr/>
                <a:graphic xmlns:a="http://schemas.openxmlformats.org/drawingml/2006/main">
                  <a:graphicData uri="http://schemas.microsoft.com/office/word/2010/wordprocessingShape">
                    <wps:wsp>
                      <wps:cNvSpPr txBox="1"/>
                      <wps:spPr>
                        <a:xfrm>
                          <a:off x="0" y="0"/>
                          <a:ext cx="5925185" cy="219075"/>
                        </a:xfrm>
                        <a:prstGeom prst="rect">
                          <a:avLst/>
                        </a:prstGeom>
                        <a:solidFill>
                          <a:prstClr val="white"/>
                        </a:solidFill>
                        <a:ln>
                          <a:noFill/>
                        </a:ln>
                      </wps:spPr>
                      <wps:txbx>
                        <w:txbxContent>
                          <w:p w14:paraId="063C2C80" w14:textId="0B9A8F6A" w:rsidR="00BB3453" w:rsidRPr="00244A60" w:rsidRDefault="00BB3453" w:rsidP="008C0122">
                            <w:pPr>
                              <w:pStyle w:val="Caption"/>
                              <w:rPr>
                                <w:rFonts w:cs="Segoe UI"/>
                                <w:noProof/>
                              </w:rPr>
                            </w:pPr>
                            <w:bookmarkStart w:id="177" w:name="_Ref485814360"/>
                            <w:bookmarkStart w:id="178" w:name="_Toc500969358"/>
                            <w:r w:rsidRPr="0015054B">
                              <w:t xml:space="preserve">Figure </w:t>
                            </w:r>
                            <w:fldSimple w:instr=" SEQ Figure \* ARABIC ">
                              <w:r>
                                <w:rPr>
                                  <w:noProof/>
                                </w:rPr>
                                <w:t>21</w:t>
                              </w:r>
                            </w:fldSimple>
                            <w:bookmarkEnd w:id="177"/>
                            <w:r w:rsidRPr="0015054B">
                              <w:t>: Key implementation steps for technical advisory services for solar operators</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24DAA77" id="Text Box 38" o:spid="_x0000_s1045" type="#_x0000_t202" style="width:466.5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" stroked="f">
                <v:textbox inset="0,0,0,0">
                  <w:txbxContent>
                    <w:p w14:paraId="063C2C80" w14:textId="0B9A8F6A" w:rsidR="00BB3453" w:rsidRPr="00244A60" w:rsidRDefault="00BB3453" w:rsidP="008C0122">
                      <w:pPr>
                        <w:pStyle w:val="Caption"/>
                        <w:rPr>
                          <w:rFonts w:cs="Segoe UI"/>
                          <w:noProof/>
                        </w:rPr>
                      </w:pPr>
                      <w:bookmarkStart w:id="196" w:name="_Ref485814360"/>
                      <w:bookmarkStart w:id="197" w:name="_Toc500969358"/>
                      <w:r w:rsidRPr="0015054B">
                        <w:t xml:space="preserve">Figure </w:t>
                      </w:r>
                      <w:fldSimple w:instr=" SEQ Figure \* ARABIC ">
                        <w:r>
                          <w:rPr>
                            <w:noProof/>
                          </w:rPr>
                          <w:t>21</w:t>
                        </w:r>
                      </w:fldSimple>
                      <w:bookmarkEnd w:id="196"/>
                      <w:r w:rsidRPr="0015054B">
                        <w:t>: Key implementation steps for technical advisory services for solar operators</w:t>
                      </w:r>
                      <w:bookmarkEnd w:id="197"/>
                    </w:p>
                  </w:txbxContent>
                </v:textbox>
                <w10:anchorlock/>
              </v:shape>
            </w:pict>
          </mc:Fallback>
        </mc:AlternateContent>
      </w:r>
    </w:p>
    <w:p w14:paraId="47569056" w14:textId="6E128C97" w:rsidR="00F7088D" w:rsidRDefault="00F7088D" w:rsidP="004C3592">
      <w:pPr>
        <w:spacing w:before="120"/>
        <w:jc w:val="both"/>
        <w:rPr>
          <w:rFonts w:cs="Segoe UI"/>
        </w:rPr>
      </w:pPr>
      <w:r>
        <w:rPr>
          <w:noProof/>
        </w:rPr>
        <w:drawing>
          <wp:inline distT="0" distB="0" distL="0" distR="0" wp14:anchorId="58A880F4" wp14:editId="75B97F36">
            <wp:extent cx="5148072" cy="3621024"/>
            <wp:effectExtent l="1588"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a:ext>
                      </a:extLst>
                    </a:blip>
                    <a:srcRect/>
                    <a:stretch/>
                  </pic:blipFill>
                  <pic:spPr bwMode="auto">
                    <a:xfrm rot="5400000">
                      <a:off x="0" y="0"/>
                      <a:ext cx="5148072" cy="3621024"/>
                    </a:xfrm>
                    <a:prstGeom prst="rect">
                      <a:avLst/>
                    </a:prstGeom>
                    <a:ln>
                      <a:noFill/>
                    </a:ln>
                    <a:extLst>
                      <a:ext uri="{53640926-AAD7-44D8-BBD7-CCE9431645EC}">
                        <a14:shadowObscured xmlns:a14="http://schemas.microsoft.com/office/drawing/2010/main"/>
                      </a:ext>
                    </a:extLst>
                  </pic:spPr>
                </pic:pic>
              </a:graphicData>
            </a:graphic>
          </wp:inline>
        </w:drawing>
      </w:r>
    </w:p>
    <w:p w14:paraId="69CEC6E5" w14:textId="77777777" w:rsidR="00F7088D" w:rsidRDefault="00F7088D" w:rsidP="004C3592">
      <w:pPr>
        <w:spacing w:before="120"/>
        <w:jc w:val="both"/>
        <w:rPr>
          <w:rFonts w:cs="Segoe UI"/>
        </w:rPr>
      </w:pPr>
    </w:p>
    <w:p w14:paraId="2D05BB73" w14:textId="343F1F7A" w:rsidR="00EB0D40" w:rsidRDefault="00EB0D40" w:rsidP="004C3592">
      <w:pPr>
        <w:spacing w:before="120"/>
        <w:jc w:val="both"/>
        <w:rPr>
          <w:rFonts w:cs="Segoe UI"/>
        </w:rPr>
      </w:pPr>
      <w:r>
        <w:rPr>
          <w:rFonts w:cs="Segoe UI"/>
        </w:rPr>
        <w:t>Especially for consumer education programs and technical assistance, close coordination with other efforts in the market is advisable to prevent suboptimal resource allocations.</w:t>
      </w:r>
    </w:p>
    <w:p w14:paraId="0110B45A" w14:textId="22209DDF" w:rsidR="002D5483" w:rsidRPr="00955049" w:rsidRDefault="002D5483" w:rsidP="00955049">
      <w:pPr>
        <w:pStyle w:val="H2NEWreportStyle"/>
      </w:pPr>
      <w:bookmarkStart w:id="179" w:name="_Toc501097051"/>
      <w:r w:rsidRPr="00955049">
        <w:t xml:space="preserve">Financial interventions </w:t>
      </w:r>
      <w:r w:rsidR="000D13CA" w:rsidRPr="00955049">
        <w:t>for household-level solar solutions</w:t>
      </w:r>
      <w:bookmarkEnd w:id="179"/>
    </w:p>
    <w:p w14:paraId="7CC5B27A" w14:textId="77777777" w:rsidR="00BB2DAB" w:rsidRDefault="00BB2DAB" w:rsidP="00BB2DAB">
      <w:pPr>
        <w:jc w:val="both"/>
        <w:rPr>
          <w:rFonts w:cs="Segoe UI"/>
        </w:rPr>
      </w:pPr>
      <w:r w:rsidRPr="001046C8">
        <w:rPr>
          <w:rFonts w:cs="Segoe UI"/>
        </w:rPr>
        <w:t>Besides systemic interventions, we recommend financial interventions to achieve rapid stimulation</w:t>
      </w:r>
      <w:r>
        <w:rPr>
          <w:rFonts w:cs="Segoe UI"/>
        </w:rPr>
        <w:t xml:space="preserve"> of the solar market in Niger. Our consultations revealed that current bank lending to the solar sector, and especially to SMEs, is limited to contract-backed loans for the initial purchase of inputs; the same holds true for grants, which are typically awarded to equip public institutions with solar technology, and are highly restrictive in usage. The largest local MFI, ASUSU, offers consumer asset financing, but uptake of microloans for solar products has been slow, mainly due to lacking coordination and integration between </w:t>
      </w:r>
      <w:r>
        <w:rPr>
          <w:rFonts w:cs="Segoe UI"/>
        </w:rPr>
        <w:lastRenderedPageBreak/>
        <w:t xml:space="preserve">solar distributors and ASUSU. Further, setting up operations requires significant investment from solar businesses, especially to distribute through agent networks to reach rural areas. </w:t>
      </w:r>
    </w:p>
    <w:p w14:paraId="475CE855" w14:textId="77777777" w:rsidR="00BB2DAB" w:rsidRDefault="00BB2DAB" w:rsidP="00BB2DAB">
      <w:pPr>
        <w:jc w:val="both"/>
        <w:rPr>
          <w:rFonts w:cs="Segoe UI"/>
        </w:rPr>
      </w:pPr>
      <w:r>
        <w:rPr>
          <w:rFonts w:cs="Segoe UI"/>
        </w:rPr>
        <w:t xml:space="preserve">To assess the need for financial interventions, we developed financial projections for a mock solar distribution company serving the market for private households in Niger. </w:t>
      </w:r>
    </w:p>
    <w:p w14:paraId="5249E204" w14:textId="35B87103" w:rsidR="00BB2DAB" w:rsidRDefault="00BB2DAB" w:rsidP="00BB2DAB">
      <w:pPr>
        <w:jc w:val="both"/>
        <w:rPr>
          <w:rFonts w:cs="Segoe UI"/>
        </w:rPr>
      </w:pPr>
      <w:r w:rsidRPr="005F151F">
        <w:rPr>
          <w:rFonts w:cs="Segoe UI"/>
        </w:rPr>
        <w:t xml:space="preserve">The financial projections are based on revenue and cost assumptions derived directly from consultations with several international </w:t>
      </w:r>
      <w:r>
        <w:rPr>
          <w:rFonts w:cs="Segoe UI"/>
        </w:rPr>
        <w:t xml:space="preserve">solar businesses, </w:t>
      </w:r>
      <w:r w:rsidRPr="005F151F">
        <w:rPr>
          <w:rFonts w:cs="Segoe UI"/>
        </w:rPr>
        <w:t xml:space="preserve">and have been tailored to the </w:t>
      </w:r>
      <w:r>
        <w:rPr>
          <w:rFonts w:cs="Segoe UI"/>
        </w:rPr>
        <w:t xml:space="preserve">Nigerien </w:t>
      </w:r>
      <w:r w:rsidRPr="005F151F">
        <w:rPr>
          <w:rFonts w:cs="Segoe UI"/>
        </w:rPr>
        <w:t xml:space="preserve">context based on information received </w:t>
      </w:r>
      <w:r>
        <w:rPr>
          <w:rFonts w:cs="Segoe UI"/>
        </w:rPr>
        <w:t>from local consultations and focus groups; the key inputs and assumptions underlying the financial projections are presented in</w:t>
      </w:r>
      <w:r w:rsidR="00985CE2">
        <w:rPr>
          <w:rFonts w:cs="Segoe UI"/>
        </w:rPr>
        <w:t xml:space="preserve"> </w:t>
      </w:r>
      <w:r w:rsidR="00985CE2">
        <w:rPr>
          <w:rFonts w:cs="Segoe UI"/>
        </w:rPr>
        <w:fldChar w:fldCharType="begin"/>
      </w:r>
      <w:r w:rsidR="00985CE2">
        <w:rPr>
          <w:rFonts w:cs="Segoe UI"/>
        </w:rPr>
        <w:instrText xml:space="preserve"> REF _Ref475521817 \h </w:instrText>
      </w:r>
      <w:r w:rsidR="00985CE2">
        <w:rPr>
          <w:rFonts w:cs="Segoe UI"/>
        </w:rPr>
      </w:r>
      <w:r w:rsidR="00985CE2">
        <w:rPr>
          <w:rFonts w:cs="Segoe UI"/>
        </w:rPr>
        <w:fldChar w:fldCharType="separate"/>
      </w:r>
      <w:r w:rsidR="000D1C35">
        <w:t xml:space="preserve">Figure </w:t>
      </w:r>
      <w:r w:rsidR="000D1C35">
        <w:rPr>
          <w:noProof/>
        </w:rPr>
        <w:t>22</w:t>
      </w:r>
      <w:r w:rsidR="00985CE2">
        <w:rPr>
          <w:rFonts w:cs="Segoe UI"/>
        </w:rPr>
        <w:fldChar w:fldCharType="end"/>
      </w:r>
      <w:r>
        <w:rPr>
          <w:rFonts w:cs="Segoe UI"/>
        </w:rPr>
        <w:t>.</w:t>
      </w:r>
    </w:p>
    <w:p w14:paraId="777084D2" w14:textId="77777777" w:rsidR="00BB2DAB" w:rsidRDefault="00BB2DAB" w:rsidP="00BB2DAB">
      <w:pPr>
        <w:jc w:val="both"/>
        <w:rPr>
          <w:rFonts w:cs="Segoe UI"/>
        </w:rPr>
      </w:pPr>
      <w:r>
        <w:rPr>
          <w:rFonts w:cs="Segoe UI"/>
          <w:noProof/>
        </w:rPr>
        <w:lastRenderedPageBreak/>
        <mc:AlternateContent>
          <mc:Choice Requires="wps">
            <w:drawing>
              <wp:anchor distT="0" distB="0" distL="114300" distR="114300" simplePos="0" relativeHeight="251704320" behindDoc="0" locked="0" layoutInCell="1" allowOverlap="1" wp14:anchorId="29E6EB93" wp14:editId="3785F837">
                <wp:simplePos x="0" y="0"/>
                <wp:positionH relativeFrom="margin">
                  <wp:align>right</wp:align>
                </wp:positionH>
                <wp:positionV relativeFrom="paragraph">
                  <wp:posOffset>189865</wp:posOffset>
                </wp:positionV>
                <wp:extent cx="5925185" cy="7512685"/>
                <wp:effectExtent l="0" t="0" r="18415" b="12065"/>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7512685"/>
                        </a:xfrm>
                        <a:prstGeom prst="rect">
                          <a:avLst/>
                        </a:prstGeom>
                        <a:solidFill>
                          <a:schemeClr val="accent2">
                            <a:lumMod val="20000"/>
                            <a:lumOff val="80000"/>
                          </a:schemeClr>
                        </a:solidFill>
                        <a:ln w="15875">
                          <a:solidFill>
                            <a:schemeClr val="bg2">
                              <a:lumMod val="50000"/>
                              <a:alpha val="91000"/>
                            </a:schemeClr>
                          </a:solidFill>
                        </a:ln>
                        <a:extLst/>
                      </wps:spPr>
                      <wps:style>
                        <a:lnRef idx="0">
                          <a:scrgbClr r="0" g="0" b="0"/>
                        </a:lnRef>
                        <a:fillRef idx="1002">
                          <a:schemeClr val="lt2"/>
                        </a:fillRef>
                        <a:effectRef idx="0">
                          <a:scrgbClr r="0" g="0" b="0"/>
                        </a:effectRef>
                        <a:fontRef idx="major"/>
                      </wps:style>
                      <wps:txbx>
                        <w:txbxContent>
                          <w:p w14:paraId="01043216" w14:textId="77777777" w:rsidR="00BB3453" w:rsidRPr="006A5E47" w:rsidRDefault="00BB3453" w:rsidP="00BB2DAB">
                            <w:pPr>
                              <w:spacing w:before="360" w:after="360" w:line="240" w:lineRule="auto"/>
                              <w:rPr>
                                <w:rFonts w:eastAsiaTheme="majorEastAsia" w:cs="Segoe UI"/>
                                <w:color w:val="ADD2D7" w:themeColor="accent1"/>
                                <w:sz w:val="32"/>
                                <w:szCs w:val="32"/>
                              </w:rPr>
                            </w:pPr>
                            <w:r>
                              <w:rPr>
                                <w:rFonts w:eastAsiaTheme="majorEastAsia" w:cs="Segoe UI"/>
                                <w:color w:val="ADD2D7" w:themeColor="accent1"/>
                                <w:sz w:val="32"/>
                                <w:szCs w:val="32"/>
                              </w:rPr>
                              <w:t>F</w:t>
                            </w:r>
                            <w:r w:rsidRPr="006A5E47">
                              <w:rPr>
                                <w:rFonts w:eastAsiaTheme="majorEastAsia" w:cs="Segoe UI"/>
                                <w:color w:val="ADD2D7" w:themeColor="accent1"/>
                                <w:sz w:val="32"/>
                                <w:szCs w:val="32"/>
                              </w:rPr>
                              <w:t xml:space="preserve">inancial projections for </w:t>
                            </w:r>
                            <w:r>
                              <w:rPr>
                                <w:rFonts w:eastAsiaTheme="majorEastAsia" w:cs="Segoe UI"/>
                                <w:color w:val="ADD2D7" w:themeColor="accent1"/>
                                <w:sz w:val="32"/>
                                <w:szCs w:val="32"/>
                              </w:rPr>
                              <w:t xml:space="preserve">a </w:t>
                            </w:r>
                            <w:r w:rsidRPr="006A5E47">
                              <w:rPr>
                                <w:rFonts w:eastAsiaTheme="majorEastAsia" w:cs="Segoe UI"/>
                                <w:color w:val="ADD2D7" w:themeColor="accent1"/>
                                <w:sz w:val="32"/>
                                <w:szCs w:val="32"/>
                              </w:rPr>
                              <w:t>solar business in Niger</w:t>
                            </w:r>
                          </w:p>
                          <w:p w14:paraId="190229FF" w14:textId="77777777" w:rsidR="00BB3453" w:rsidRPr="006A5E47" w:rsidRDefault="00BB3453" w:rsidP="00BB2DAB">
                            <w:pPr>
                              <w:spacing w:after="100"/>
                              <w:rPr>
                                <w:rFonts w:cs="Segoe UI"/>
                                <w:b/>
                                <w:color w:val="366092" w:themeColor="text2"/>
                                <w:sz w:val="20"/>
                                <w:szCs w:val="20"/>
                              </w:rPr>
                            </w:pPr>
                            <w:r w:rsidRPr="006A5E47">
                              <w:rPr>
                                <w:rFonts w:cs="Segoe UI"/>
                                <w:b/>
                                <w:color w:val="366092" w:themeColor="text2"/>
                                <w:sz w:val="20"/>
                                <w:szCs w:val="20"/>
                              </w:rPr>
                              <w:t>General inputs</w:t>
                            </w:r>
                          </w:p>
                          <w:p w14:paraId="0311D15E"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Products included have been selected to represent – from both functionality and pricing - a broad range of Lighting Africa-approved solar lanterns and solar home systems:</w:t>
                            </w:r>
                          </w:p>
                          <w:tbl>
                            <w:tblPr>
                              <w:tblStyle w:val="GridTable2"/>
                              <w:tblW w:w="0" w:type="auto"/>
                              <w:tblCellMar>
                                <w:top w:w="29" w:type="dxa"/>
                                <w:left w:w="144" w:type="dxa"/>
                                <w:bottom w:w="29" w:type="dxa"/>
                                <w:right w:w="144" w:type="dxa"/>
                              </w:tblCellMar>
                              <w:tblLook w:val="04A0" w:firstRow="1" w:lastRow="0" w:firstColumn="1" w:lastColumn="0" w:noHBand="0" w:noVBand="1"/>
                            </w:tblPr>
                            <w:tblGrid>
                              <w:gridCol w:w="2790"/>
                              <w:gridCol w:w="1137"/>
                              <w:gridCol w:w="1137"/>
                              <w:gridCol w:w="1137"/>
                              <w:gridCol w:w="1265"/>
                              <w:gridCol w:w="1265"/>
                            </w:tblGrid>
                            <w:tr w:rsidR="00BB3453" w:rsidRPr="00157A16" w14:paraId="1D967D69" w14:textId="77777777" w:rsidTr="00B81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D99A4D4" w14:textId="77777777" w:rsidR="00BB3453" w:rsidRPr="00157A16" w:rsidRDefault="00BB3453" w:rsidP="00F90513">
                                  <w:pPr>
                                    <w:rPr>
                                      <w:rFonts w:cs="Segoe UI"/>
                                      <w:color w:val="366092" w:themeColor="text2"/>
                                      <w:sz w:val="16"/>
                                      <w:szCs w:val="16"/>
                                    </w:rPr>
                                  </w:pPr>
                                  <w:r w:rsidRPr="00157A16">
                                    <w:rPr>
                                      <w:rFonts w:cs="Segoe UI"/>
                                      <w:color w:val="366092" w:themeColor="text2"/>
                                      <w:sz w:val="16"/>
                                      <w:szCs w:val="16"/>
                                    </w:rPr>
                                    <w:t>Product</w:t>
                                  </w:r>
                                </w:p>
                              </w:tc>
                              <w:tc>
                                <w:tcPr>
                                  <w:tcW w:w="1137" w:type="dxa"/>
                                </w:tcPr>
                                <w:p w14:paraId="6A553883"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Watts (peak)</w:t>
                                  </w:r>
                                </w:p>
                              </w:tc>
                              <w:tc>
                                <w:tcPr>
                                  <w:tcW w:w="1137" w:type="dxa"/>
                                </w:tcPr>
                                <w:p w14:paraId="6265EA6E"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Price</w:t>
                                  </w:r>
                                </w:p>
                                <w:p w14:paraId="7ADF6CE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(US $)</w:t>
                                  </w:r>
                                </w:p>
                              </w:tc>
                              <w:tc>
                                <w:tcPr>
                                  <w:tcW w:w="1137" w:type="dxa"/>
                                </w:tcPr>
                                <w:p w14:paraId="6862C0AC"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Lifetime</w:t>
                                  </w:r>
                                </w:p>
                                <w:p w14:paraId="2F867B00"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in years</w:t>
                                  </w:r>
                                </w:p>
                              </w:tc>
                              <w:tc>
                                <w:tcPr>
                                  <w:tcW w:w="1265" w:type="dxa"/>
                                </w:tcPr>
                                <w:p w14:paraId="552973C9"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Consumer loans (CL)</w:t>
                                  </w:r>
                                </w:p>
                              </w:tc>
                              <w:tc>
                                <w:tcPr>
                                  <w:tcW w:w="1265" w:type="dxa"/>
                                </w:tcPr>
                                <w:p w14:paraId="324BB61E"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 xml:space="preserve">CL tender in months </w:t>
                                  </w:r>
                                </w:p>
                              </w:tc>
                            </w:tr>
                            <w:tr w:rsidR="00BB3453" w:rsidRPr="00157A16" w14:paraId="71DF5C10"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155D6D3"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Simple study light</w:t>
                                  </w:r>
                                </w:p>
                              </w:tc>
                              <w:tc>
                                <w:tcPr>
                                  <w:tcW w:w="1137" w:type="dxa"/>
                                </w:tcPr>
                                <w:p w14:paraId="451F208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137" w:type="dxa"/>
                                </w:tcPr>
                                <w:p w14:paraId="56301756"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137" w:type="dxa"/>
                                </w:tcPr>
                                <w:p w14:paraId="0DFC29D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1DDDF0A7"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w:t>
                                  </w:r>
                                  <w:r>
                                    <w:rPr>
                                      <w:rFonts w:cs="Segoe UI"/>
                                      <w:color w:val="366092" w:themeColor="text2"/>
                                      <w:sz w:val="16"/>
                                      <w:szCs w:val="16"/>
                                    </w:rPr>
                                    <w:t xml:space="preserve">r. </w:t>
                                  </w:r>
                                  <w:r w:rsidRPr="00157A16">
                                    <w:rPr>
                                      <w:rFonts w:cs="Segoe UI"/>
                                      <w:color w:val="366092" w:themeColor="text2"/>
                                      <w:sz w:val="16"/>
                                      <w:szCs w:val="16"/>
                                    </w:rPr>
                                    <w:t xml:space="preserve">4 </w:t>
                                  </w:r>
                                  <w:r>
                                    <w:rPr>
                                      <w:rFonts w:cs="Segoe UI"/>
                                      <w:color w:val="366092" w:themeColor="text2"/>
                                      <w:sz w:val="16"/>
                                      <w:szCs w:val="16"/>
                                    </w:rPr>
                                    <w:t>onwards</w:t>
                                  </w:r>
                                </w:p>
                              </w:tc>
                              <w:tc>
                                <w:tcPr>
                                  <w:tcW w:w="1265" w:type="dxa"/>
                                </w:tcPr>
                                <w:p w14:paraId="6665FE72"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r>
                            <w:tr w:rsidR="00BB3453" w:rsidRPr="00157A16" w14:paraId="7DE680E7"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20DBCD4C"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Standing light</w:t>
                                  </w:r>
                                </w:p>
                              </w:tc>
                              <w:tc>
                                <w:tcPr>
                                  <w:tcW w:w="1137" w:type="dxa"/>
                                </w:tcPr>
                                <w:p w14:paraId="2B5F9D46"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w:t>
                                  </w:r>
                                </w:p>
                              </w:tc>
                              <w:tc>
                                <w:tcPr>
                                  <w:tcW w:w="1137" w:type="dxa"/>
                                </w:tcPr>
                                <w:p w14:paraId="0E2156E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w:t>
                                  </w:r>
                                </w:p>
                              </w:tc>
                              <w:tc>
                                <w:tcPr>
                                  <w:tcW w:w="1137" w:type="dxa"/>
                                </w:tcPr>
                                <w:p w14:paraId="300FB8E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66355FB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w:t>
                                  </w:r>
                                  <w:r>
                                    <w:rPr>
                                      <w:rFonts w:cs="Segoe UI"/>
                                      <w:color w:val="366092" w:themeColor="text2"/>
                                      <w:sz w:val="16"/>
                                      <w:szCs w:val="16"/>
                                    </w:rPr>
                                    <w:t xml:space="preserve">r. </w:t>
                                  </w:r>
                                  <w:r w:rsidRPr="00157A16">
                                    <w:rPr>
                                      <w:rFonts w:cs="Segoe UI"/>
                                      <w:color w:val="366092" w:themeColor="text2"/>
                                      <w:sz w:val="16"/>
                                      <w:szCs w:val="16"/>
                                    </w:rPr>
                                    <w:t>4 onwards</w:t>
                                  </w:r>
                                </w:p>
                              </w:tc>
                              <w:tc>
                                <w:tcPr>
                                  <w:tcW w:w="1265" w:type="dxa"/>
                                </w:tcPr>
                                <w:p w14:paraId="28A5DB9B"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r>
                            <w:tr w:rsidR="00BB3453" w:rsidRPr="00157A16" w14:paraId="4C9EDA92"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EC1595"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Light &amp; mobile charger</w:t>
                                  </w:r>
                                </w:p>
                              </w:tc>
                              <w:tc>
                                <w:tcPr>
                                  <w:tcW w:w="1137" w:type="dxa"/>
                                </w:tcPr>
                                <w:p w14:paraId="1204ABC1"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4</w:t>
                                  </w:r>
                                </w:p>
                              </w:tc>
                              <w:tc>
                                <w:tcPr>
                                  <w:tcW w:w="1137" w:type="dxa"/>
                                </w:tcPr>
                                <w:p w14:paraId="583DCE8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40</w:t>
                                  </w:r>
                                </w:p>
                              </w:tc>
                              <w:tc>
                                <w:tcPr>
                                  <w:tcW w:w="1137" w:type="dxa"/>
                                </w:tcPr>
                                <w:p w14:paraId="5629BCFB"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1A43C725"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353BA7BD"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12</w:t>
                                  </w:r>
                                </w:p>
                              </w:tc>
                            </w:tr>
                            <w:tr w:rsidR="00BB3453" w:rsidRPr="00157A16" w14:paraId="6CFB0CC0"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0533F5E0"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Small multiroom lighting system</w:t>
                                  </w:r>
                                </w:p>
                              </w:tc>
                              <w:tc>
                                <w:tcPr>
                                  <w:tcW w:w="1137" w:type="dxa"/>
                                </w:tcPr>
                                <w:p w14:paraId="356C35E4"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c>
                                <w:tcPr>
                                  <w:tcW w:w="1137" w:type="dxa"/>
                                </w:tcPr>
                                <w:p w14:paraId="135C496B"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w:t>
                                  </w:r>
                                </w:p>
                              </w:tc>
                              <w:tc>
                                <w:tcPr>
                                  <w:tcW w:w="1137" w:type="dxa"/>
                                </w:tcPr>
                                <w:p w14:paraId="56793C53"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w:t>
                                  </w:r>
                                </w:p>
                              </w:tc>
                              <w:tc>
                                <w:tcPr>
                                  <w:tcW w:w="1265" w:type="dxa"/>
                                </w:tcPr>
                                <w:p w14:paraId="040C2DAC"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6240DA14"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12</w:t>
                                  </w:r>
                                </w:p>
                              </w:tc>
                            </w:tr>
                            <w:tr w:rsidR="00BB3453" w:rsidRPr="00157A16" w14:paraId="1D6F1F4D"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62519A2"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Basic solar home system</w:t>
                                  </w:r>
                                </w:p>
                              </w:tc>
                              <w:tc>
                                <w:tcPr>
                                  <w:tcW w:w="1137" w:type="dxa"/>
                                </w:tcPr>
                                <w:p w14:paraId="08554DA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10-20</w:t>
                                  </w:r>
                                </w:p>
                              </w:tc>
                              <w:tc>
                                <w:tcPr>
                                  <w:tcW w:w="1137" w:type="dxa"/>
                                </w:tcPr>
                                <w:p w14:paraId="4B916FA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220</w:t>
                                  </w:r>
                                </w:p>
                              </w:tc>
                              <w:tc>
                                <w:tcPr>
                                  <w:tcW w:w="1137" w:type="dxa"/>
                                </w:tcPr>
                                <w:p w14:paraId="25759EBB"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2C573AD6"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2978E17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24</w:t>
                                  </w:r>
                                </w:p>
                              </w:tc>
                            </w:tr>
                            <w:tr w:rsidR="00BB3453" w:rsidRPr="00157A16" w14:paraId="1CD058F3"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4B108ADD"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Medium solar home system</w:t>
                                  </w:r>
                                </w:p>
                              </w:tc>
                              <w:tc>
                                <w:tcPr>
                                  <w:tcW w:w="1137" w:type="dxa"/>
                                </w:tcPr>
                                <w:p w14:paraId="54AC1B79"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w:t>
                                  </w:r>
                                </w:p>
                              </w:tc>
                              <w:tc>
                                <w:tcPr>
                                  <w:tcW w:w="1137" w:type="dxa"/>
                                </w:tcPr>
                                <w:p w14:paraId="69A6CCF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500</w:t>
                                  </w:r>
                                </w:p>
                              </w:tc>
                              <w:tc>
                                <w:tcPr>
                                  <w:tcW w:w="1137" w:type="dxa"/>
                                </w:tcPr>
                                <w:p w14:paraId="3F12220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35B061E0"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4AA7A77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24</w:t>
                                  </w:r>
                                </w:p>
                              </w:tc>
                            </w:tr>
                            <w:tr w:rsidR="00BB3453" w:rsidRPr="00157A16" w14:paraId="1529ABC7"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FF11826"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Large solar home system</w:t>
                                  </w:r>
                                </w:p>
                              </w:tc>
                              <w:tc>
                                <w:tcPr>
                                  <w:tcW w:w="1137" w:type="dxa"/>
                                </w:tcPr>
                                <w:p w14:paraId="5F385AA5"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200</w:t>
                                  </w:r>
                                </w:p>
                              </w:tc>
                              <w:tc>
                                <w:tcPr>
                                  <w:tcW w:w="1137" w:type="dxa"/>
                                </w:tcPr>
                                <w:p w14:paraId="0FFA5B10"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1,000</w:t>
                                  </w:r>
                                </w:p>
                              </w:tc>
                              <w:tc>
                                <w:tcPr>
                                  <w:tcW w:w="1137" w:type="dxa"/>
                                </w:tcPr>
                                <w:p w14:paraId="1284369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752F77D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3915D21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36</w:t>
                                  </w:r>
                                </w:p>
                              </w:tc>
                            </w:tr>
                          </w:tbl>
                          <w:p w14:paraId="7AAFA896" w14:textId="77777777" w:rsidR="00BB3453" w:rsidRPr="00157A16" w:rsidRDefault="00BB3453" w:rsidP="00BB2DAB">
                            <w:pPr>
                              <w:spacing w:after="90"/>
                              <w:ind w:left="720"/>
                              <w:rPr>
                                <w:rFonts w:cs="Segoe UI"/>
                                <w:color w:val="366092" w:themeColor="text2"/>
                                <w:sz w:val="20"/>
                                <w:szCs w:val="20"/>
                              </w:rPr>
                            </w:pPr>
                          </w:p>
                          <w:p w14:paraId="3FE384A5" w14:textId="365B3ACC" w:rsidR="00BB3453" w:rsidRPr="009651D6" w:rsidRDefault="00BB3453" w:rsidP="00F57D5D">
                            <w:pPr>
                              <w:numPr>
                                <w:ilvl w:val="0"/>
                                <w:numId w:val="16"/>
                              </w:numPr>
                              <w:spacing w:after="90"/>
                              <w:rPr>
                                <w:rFonts w:cs="Segoe UI"/>
                                <w:color w:val="366092" w:themeColor="text2"/>
                                <w:sz w:val="18"/>
                                <w:szCs w:val="18"/>
                              </w:rPr>
                            </w:pPr>
                            <w:r w:rsidRPr="009651D6">
                              <w:rPr>
                                <w:rFonts w:cs="Segoe UI"/>
                                <w:color w:val="366092" w:themeColor="text2"/>
                                <w:sz w:val="18"/>
                                <w:szCs w:val="18"/>
                              </w:rPr>
                              <w:t xml:space="preserve">The price points assume that products are exempt from import duties. </w:t>
                            </w:r>
                          </w:p>
                          <w:p w14:paraId="1664750D" w14:textId="77777777" w:rsidR="00BB3453"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Consumer loans only available for small solar lanterns from year 4 onwards, as without PAYG payment platforms, consumer finance has limited operational viability</w:t>
                            </w:r>
                          </w:p>
                          <w:p w14:paraId="26EB35A9" w14:textId="77777777" w:rsidR="00BB3453" w:rsidRDefault="00BB3453" w:rsidP="006A7E1D">
                            <w:pPr>
                              <w:numPr>
                                <w:ilvl w:val="0"/>
                                <w:numId w:val="16"/>
                              </w:numPr>
                              <w:spacing w:after="90"/>
                              <w:rPr>
                                <w:rFonts w:cs="Segoe UI"/>
                                <w:color w:val="366092" w:themeColor="text2"/>
                                <w:sz w:val="18"/>
                                <w:szCs w:val="18"/>
                              </w:rPr>
                            </w:pPr>
                            <w:r>
                              <w:rPr>
                                <w:rFonts w:cs="Segoe UI"/>
                                <w:color w:val="366092" w:themeColor="text2"/>
                                <w:sz w:val="18"/>
                                <w:szCs w:val="18"/>
                              </w:rPr>
                              <w:t>Contribution margins vary from 30% for the smallest devices to 55% for the large solar home system</w:t>
                            </w:r>
                          </w:p>
                          <w:p w14:paraId="2876683E"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 xml:space="preserve">Distribution via a hub and spoke model leveraging third party store and agent networks; the partner networks are complemented with self-managed sales hubs and technical after-sales support staff. </w:t>
                            </w:r>
                          </w:p>
                          <w:p w14:paraId="6189CFD0" w14:textId="646C399E" w:rsidR="00BB3453"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Stores and agents require in-depth training on business skills, products, and financing options, and then receive sales commissions, for sale (7.5%) and referral (5%) respectively.</w:t>
                            </w:r>
                          </w:p>
                          <w:p w14:paraId="26EB4E12" w14:textId="4A13801E" w:rsidR="00BB3453" w:rsidRPr="00157A16" w:rsidRDefault="00BB3453" w:rsidP="006A7E1D">
                            <w:pPr>
                              <w:numPr>
                                <w:ilvl w:val="0"/>
                                <w:numId w:val="16"/>
                              </w:numPr>
                              <w:spacing w:after="90"/>
                              <w:rPr>
                                <w:rFonts w:cs="Segoe UI"/>
                                <w:color w:val="366092" w:themeColor="text2"/>
                                <w:sz w:val="18"/>
                                <w:szCs w:val="18"/>
                              </w:rPr>
                            </w:pPr>
                            <w:r>
                              <w:rPr>
                                <w:rFonts w:cs="Segoe UI"/>
                                <w:color w:val="366092" w:themeColor="text2"/>
                                <w:sz w:val="18"/>
                                <w:szCs w:val="18"/>
                              </w:rPr>
                              <w:t>Consumer loan default rate of 25%, based on consultations with international PAYG providers</w:t>
                            </w:r>
                          </w:p>
                          <w:p w14:paraId="7EF64EBA" w14:textId="77777777" w:rsidR="00BB3453" w:rsidRPr="006A5E47" w:rsidRDefault="00BB3453" w:rsidP="00BB2DAB">
                            <w:pPr>
                              <w:spacing w:after="100"/>
                              <w:rPr>
                                <w:rFonts w:cs="Segoe UI"/>
                                <w:b/>
                                <w:color w:val="366092" w:themeColor="text2"/>
                                <w:sz w:val="20"/>
                                <w:szCs w:val="20"/>
                              </w:rPr>
                            </w:pPr>
                            <w:r>
                              <w:rPr>
                                <w:rFonts w:cs="Segoe UI"/>
                                <w:b/>
                                <w:color w:val="366092" w:themeColor="text2"/>
                                <w:sz w:val="20"/>
                                <w:szCs w:val="20"/>
                              </w:rPr>
                              <w:t>Niger</w:t>
                            </w:r>
                            <w:r w:rsidRPr="006A5E47">
                              <w:rPr>
                                <w:rFonts w:cs="Segoe UI"/>
                                <w:b/>
                                <w:color w:val="366092" w:themeColor="text2"/>
                                <w:sz w:val="20"/>
                                <w:szCs w:val="20"/>
                              </w:rPr>
                              <w:t>-specific inputs</w:t>
                            </w:r>
                          </w:p>
                          <w:p w14:paraId="4A37328D" w14:textId="77777777" w:rsidR="00BB3453"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L</w:t>
                            </w:r>
                            <w:r w:rsidRPr="00157A16">
                              <w:rPr>
                                <w:rFonts w:cs="Segoe UI"/>
                                <w:color w:val="366092" w:themeColor="text2"/>
                                <w:sz w:val="18"/>
                                <w:szCs w:val="18"/>
                              </w:rPr>
                              <w:t>ow income levels combined with strong demand for phone charging capabilities leads to significant demand for the US$ 40 light and mobile charger</w:t>
                            </w:r>
                            <w:r>
                              <w:rPr>
                                <w:rFonts w:cs="Segoe UI"/>
                                <w:color w:val="366092" w:themeColor="text2"/>
                                <w:sz w:val="18"/>
                                <w:szCs w:val="18"/>
                              </w:rPr>
                              <w:t xml:space="preserve">; this was confirmed by focus group insights. </w:t>
                            </w:r>
                          </w:p>
                          <w:p w14:paraId="429B242A" w14:textId="77777777" w:rsidR="00BB3453" w:rsidRDefault="00BB3453" w:rsidP="006A7E1D">
                            <w:pPr>
                              <w:numPr>
                                <w:ilvl w:val="0"/>
                                <w:numId w:val="17"/>
                              </w:numPr>
                              <w:spacing w:after="90"/>
                              <w:rPr>
                                <w:rFonts w:cs="Segoe UI"/>
                                <w:color w:val="366092" w:themeColor="text2"/>
                                <w:sz w:val="18"/>
                                <w:szCs w:val="18"/>
                              </w:rPr>
                            </w:pPr>
                            <w:r w:rsidRPr="00157A16">
                              <w:rPr>
                                <w:rFonts w:cs="Segoe UI"/>
                                <w:color w:val="366092" w:themeColor="text2"/>
                                <w:sz w:val="18"/>
                                <w:szCs w:val="18"/>
                              </w:rPr>
                              <w:t>Relative to countries with easier access to international markets (e.g. non-landlocked), contribution margins are around 5-10 % lower reflecting higher inbound transportation costs</w:t>
                            </w:r>
                            <w:r>
                              <w:rPr>
                                <w:rFonts w:cs="Segoe UI"/>
                                <w:color w:val="366092" w:themeColor="text2"/>
                                <w:sz w:val="18"/>
                                <w:szCs w:val="18"/>
                              </w:rPr>
                              <w:t xml:space="preserve">. </w:t>
                            </w:r>
                          </w:p>
                          <w:p w14:paraId="54C72A09" w14:textId="77777777" w:rsidR="00BB3453" w:rsidRPr="00045F4B"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Inventory holding time assumed to be 120 days driven by l</w:t>
                            </w:r>
                            <w:r w:rsidRPr="00157A16">
                              <w:rPr>
                                <w:rFonts w:cs="Segoe UI"/>
                                <w:color w:val="366092" w:themeColor="text2"/>
                                <w:sz w:val="18"/>
                                <w:szCs w:val="18"/>
                              </w:rPr>
                              <w:t xml:space="preserve">ong </w:t>
                            </w:r>
                            <w:r>
                              <w:rPr>
                                <w:rFonts w:cs="Segoe UI"/>
                                <w:color w:val="366092" w:themeColor="text2"/>
                                <w:sz w:val="18"/>
                                <w:szCs w:val="18"/>
                              </w:rPr>
                              <w:t xml:space="preserve">delivery times for sourcing from abroad and </w:t>
                            </w:r>
                            <w:r w:rsidRPr="00157A16">
                              <w:rPr>
                                <w:rFonts w:cs="Segoe UI"/>
                                <w:color w:val="366092" w:themeColor="text2"/>
                                <w:sz w:val="18"/>
                                <w:szCs w:val="18"/>
                              </w:rPr>
                              <w:t xml:space="preserve">transfer of ownership </w:t>
                            </w:r>
                            <w:r>
                              <w:rPr>
                                <w:rFonts w:cs="Segoe UI"/>
                                <w:color w:val="366092" w:themeColor="text2"/>
                                <w:sz w:val="18"/>
                                <w:szCs w:val="18"/>
                              </w:rPr>
                              <w:t xml:space="preserve">(and full payment) </w:t>
                            </w:r>
                            <w:r w:rsidRPr="00157A16">
                              <w:rPr>
                                <w:rFonts w:cs="Segoe UI"/>
                                <w:color w:val="366092" w:themeColor="text2"/>
                                <w:sz w:val="18"/>
                                <w:szCs w:val="18"/>
                              </w:rPr>
                              <w:t>prior to shipment</w:t>
                            </w:r>
                            <w:r>
                              <w:rPr>
                                <w:rFonts w:cs="Segoe UI"/>
                                <w:color w:val="366092" w:themeColor="text2"/>
                                <w:sz w:val="18"/>
                                <w:szCs w:val="18"/>
                              </w:rPr>
                              <w:t>.</w:t>
                            </w:r>
                          </w:p>
                        </w:txbxContent>
                      </wps:txbx>
                      <wps:bodyPr rot="0" vert="horz" wrap="square" lIns="182880" tIns="91440" rIns="182880" bIns="91440" anchor="t" anchorCtr="0" upright="1">
                        <a:noAutofit/>
                      </wps:bodyPr>
                    </wps:wsp>
                  </a:graphicData>
                </a:graphic>
                <wp14:sizeRelV relativeFrom="margin">
                  <wp14:pctHeight>0</wp14:pctHeight>
                </wp14:sizeRelV>
              </wp:anchor>
            </w:drawing>
          </mc:Choice>
          <mc:Fallback>
            <w:pict>
              <v:rect w14:anchorId="29E6EB93" id="_x0000_s1046" style="position:absolute;left:0;text-align:left;margin-left:415.35pt;margin-top:14.95pt;width:466.55pt;height:591.55pt;z-index:25170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" fillcolor="#e6f1f3 [661]" strokecolor="#7f7f7f [1614]" strokeweight="1.25pt">
                <v:stroke opacity="59624f"/>
                <v:textbox inset="14.4pt,7.2pt,14.4pt,7.2pt">
                  <w:txbxContent>
                    <w:p w14:paraId="01043216" w14:textId="77777777" w:rsidR="00BB3453" w:rsidRPr="006A5E47" w:rsidRDefault="00BB3453" w:rsidP="00BB2DAB">
                      <w:pPr>
                        <w:spacing w:before="360" w:after="360" w:line="240" w:lineRule="auto"/>
                        <w:rPr>
                          <w:rFonts w:eastAsiaTheme="majorEastAsia" w:cs="Segoe UI"/>
                          <w:color w:val="ADD2D7" w:themeColor="accent1"/>
                          <w:sz w:val="32"/>
                          <w:szCs w:val="32"/>
                        </w:rPr>
                      </w:pPr>
                      <w:r>
                        <w:rPr>
                          <w:rFonts w:eastAsiaTheme="majorEastAsia" w:cs="Segoe UI"/>
                          <w:color w:val="ADD2D7" w:themeColor="accent1"/>
                          <w:sz w:val="32"/>
                          <w:szCs w:val="32"/>
                        </w:rPr>
                        <w:t>F</w:t>
                      </w:r>
                      <w:r w:rsidRPr="006A5E47">
                        <w:rPr>
                          <w:rFonts w:eastAsiaTheme="majorEastAsia" w:cs="Segoe UI"/>
                          <w:color w:val="ADD2D7" w:themeColor="accent1"/>
                          <w:sz w:val="32"/>
                          <w:szCs w:val="32"/>
                        </w:rPr>
                        <w:t xml:space="preserve">inancial projections for </w:t>
                      </w:r>
                      <w:r>
                        <w:rPr>
                          <w:rFonts w:eastAsiaTheme="majorEastAsia" w:cs="Segoe UI"/>
                          <w:color w:val="ADD2D7" w:themeColor="accent1"/>
                          <w:sz w:val="32"/>
                          <w:szCs w:val="32"/>
                        </w:rPr>
                        <w:t xml:space="preserve">a </w:t>
                      </w:r>
                      <w:r w:rsidRPr="006A5E47">
                        <w:rPr>
                          <w:rFonts w:eastAsiaTheme="majorEastAsia" w:cs="Segoe UI"/>
                          <w:color w:val="ADD2D7" w:themeColor="accent1"/>
                          <w:sz w:val="32"/>
                          <w:szCs w:val="32"/>
                        </w:rPr>
                        <w:t>solar business in Niger</w:t>
                      </w:r>
                    </w:p>
                    <w:p w14:paraId="190229FF" w14:textId="77777777" w:rsidR="00BB3453" w:rsidRPr="006A5E47" w:rsidRDefault="00BB3453" w:rsidP="00BB2DAB">
                      <w:pPr>
                        <w:spacing w:after="100"/>
                        <w:rPr>
                          <w:rFonts w:cs="Segoe UI"/>
                          <w:b/>
                          <w:color w:val="366092" w:themeColor="text2"/>
                          <w:sz w:val="20"/>
                          <w:szCs w:val="20"/>
                        </w:rPr>
                      </w:pPr>
                      <w:r w:rsidRPr="006A5E47">
                        <w:rPr>
                          <w:rFonts w:cs="Segoe UI"/>
                          <w:b/>
                          <w:color w:val="366092" w:themeColor="text2"/>
                          <w:sz w:val="20"/>
                          <w:szCs w:val="20"/>
                        </w:rPr>
                        <w:t>General inputs</w:t>
                      </w:r>
                    </w:p>
                    <w:p w14:paraId="0311D15E"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Products included have been selected to represent – from both functionality and pricing - a broad range of Lighting Africa-approved solar lanterns and solar home systems:</w:t>
                      </w:r>
                    </w:p>
                    <w:tbl>
                      <w:tblPr>
                        <w:tblStyle w:val="GridTable2"/>
                        <w:tblW w:w="0" w:type="auto"/>
                        <w:tblCellMar>
                          <w:top w:w="29" w:type="dxa"/>
                          <w:left w:w="144" w:type="dxa"/>
                          <w:bottom w:w="29" w:type="dxa"/>
                          <w:right w:w="144" w:type="dxa"/>
                        </w:tblCellMar>
                        <w:tblLook w:val="04A0" w:firstRow="1" w:lastRow="0" w:firstColumn="1" w:lastColumn="0" w:noHBand="0" w:noVBand="1"/>
                      </w:tblPr>
                      <w:tblGrid>
                        <w:gridCol w:w="2790"/>
                        <w:gridCol w:w="1137"/>
                        <w:gridCol w:w="1137"/>
                        <w:gridCol w:w="1137"/>
                        <w:gridCol w:w="1265"/>
                        <w:gridCol w:w="1265"/>
                      </w:tblGrid>
                      <w:tr w:rsidR="00BB3453" w:rsidRPr="00157A16" w14:paraId="1D967D69" w14:textId="77777777" w:rsidTr="00B81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D99A4D4" w14:textId="77777777" w:rsidR="00BB3453" w:rsidRPr="00157A16" w:rsidRDefault="00BB3453" w:rsidP="00F90513">
                            <w:pPr>
                              <w:rPr>
                                <w:rFonts w:cs="Segoe UI"/>
                                <w:color w:val="366092" w:themeColor="text2"/>
                                <w:sz w:val="16"/>
                                <w:szCs w:val="16"/>
                              </w:rPr>
                            </w:pPr>
                            <w:r w:rsidRPr="00157A16">
                              <w:rPr>
                                <w:rFonts w:cs="Segoe UI"/>
                                <w:color w:val="366092" w:themeColor="text2"/>
                                <w:sz w:val="16"/>
                                <w:szCs w:val="16"/>
                              </w:rPr>
                              <w:t>Product</w:t>
                            </w:r>
                          </w:p>
                        </w:tc>
                        <w:tc>
                          <w:tcPr>
                            <w:tcW w:w="1137" w:type="dxa"/>
                          </w:tcPr>
                          <w:p w14:paraId="6A553883"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Watts (peak)</w:t>
                            </w:r>
                          </w:p>
                        </w:tc>
                        <w:tc>
                          <w:tcPr>
                            <w:tcW w:w="1137" w:type="dxa"/>
                          </w:tcPr>
                          <w:p w14:paraId="6265EA6E"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Price</w:t>
                            </w:r>
                          </w:p>
                          <w:p w14:paraId="7ADF6CE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(US $)</w:t>
                            </w:r>
                          </w:p>
                        </w:tc>
                        <w:tc>
                          <w:tcPr>
                            <w:tcW w:w="1137" w:type="dxa"/>
                          </w:tcPr>
                          <w:p w14:paraId="6862C0AC"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Lifetime</w:t>
                            </w:r>
                          </w:p>
                          <w:p w14:paraId="2F867B00"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in years</w:t>
                            </w:r>
                          </w:p>
                        </w:tc>
                        <w:tc>
                          <w:tcPr>
                            <w:tcW w:w="1265" w:type="dxa"/>
                          </w:tcPr>
                          <w:p w14:paraId="552973C9"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Consumer loans (CL)</w:t>
                            </w:r>
                          </w:p>
                        </w:tc>
                        <w:tc>
                          <w:tcPr>
                            <w:tcW w:w="1265" w:type="dxa"/>
                          </w:tcPr>
                          <w:p w14:paraId="324BB61E"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 xml:space="preserve">CL tender in months </w:t>
                            </w:r>
                          </w:p>
                        </w:tc>
                      </w:tr>
                      <w:tr w:rsidR="00BB3453" w:rsidRPr="00157A16" w14:paraId="71DF5C10"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155D6D3"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Simple study light</w:t>
                            </w:r>
                          </w:p>
                        </w:tc>
                        <w:tc>
                          <w:tcPr>
                            <w:tcW w:w="1137" w:type="dxa"/>
                          </w:tcPr>
                          <w:p w14:paraId="451F208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137" w:type="dxa"/>
                          </w:tcPr>
                          <w:p w14:paraId="56301756"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137" w:type="dxa"/>
                          </w:tcPr>
                          <w:p w14:paraId="0DFC29D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1DDDF0A7"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w:t>
                            </w:r>
                            <w:r>
                              <w:rPr>
                                <w:rFonts w:cs="Segoe UI"/>
                                <w:color w:val="366092" w:themeColor="text2"/>
                                <w:sz w:val="16"/>
                                <w:szCs w:val="16"/>
                              </w:rPr>
                              <w:t xml:space="preserve">r. </w:t>
                            </w:r>
                            <w:r w:rsidRPr="00157A16">
                              <w:rPr>
                                <w:rFonts w:cs="Segoe UI"/>
                                <w:color w:val="366092" w:themeColor="text2"/>
                                <w:sz w:val="16"/>
                                <w:szCs w:val="16"/>
                              </w:rPr>
                              <w:t xml:space="preserve">4 </w:t>
                            </w:r>
                            <w:r>
                              <w:rPr>
                                <w:rFonts w:cs="Segoe UI"/>
                                <w:color w:val="366092" w:themeColor="text2"/>
                                <w:sz w:val="16"/>
                                <w:szCs w:val="16"/>
                              </w:rPr>
                              <w:t>onwards</w:t>
                            </w:r>
                          </w:p>
                        </w:tc>
                        <w:tc>
                          <w:tcPr>
                            <w:tcW w:w="1265" w:type="dxa"/>
                          </w:tcPr>
                          <w:p w14:paraId="6665FE72"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r>
                      <w:tr w:rsidR="00BB3453" w:rsidRPr="00157A16" w14:paraId="7DE680E7"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20DBCD4C"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Standing light</w:t>
                            </w:r>
                          </w:p>
                        </w:tc>
                        <w:tc>
                          <w:tcPr>
                            <w:tcW w:w="1137" w:type="dxa"/>
                          </w:tcPr>
                          <w:p w14:paraId="2B5F9D46"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w:t>
                            </w:r>
                          </w:p>
                        </w:tc>
                        <w:tc>
                          <w:tcPr>
                            <w:tcW w:w="1137" w:type="dxa"/>
                          </w:tcPr>
                          <w:p w14:paraId="0E2156E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w:t>
                            </w:r>
                          </w:p>
                        </w:tc>
                        <w:tc>
                          <w:tcPr>
                            <w:tcW w:w="1137" w:type="dxa"/>
                          </w:tcPr>
                          <w:p w14:paraId="300FB8E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66355FB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w:t>
                            </w:r>
                            <w:r>
                              <w:rPr>
                                <w:rFonts w:cs="Segoe UI"/>
                                <w:color w:val="366092" w:themeColor="text2"/>
                                <w:sz w:val="16"/>
                                <w:szCs w:val="16"/>
                              </w:rPr>
                              <w:t xml:space="preserve">r. </w:t>
                            </w:r>
                            <w:r w:rsidRPr="00157A16">
                              <w:rPr>
                                <w:rFonts w:cs="Segoe UI"/>
                                <w:color w:val="366092" w:themeColor="text2"/>
                                <w:sz w:val="16"/>
                                <w:szCs w:val="16"/>
                              </w:rPr>
                              <w:t>4 onwards</w:t>
                            </w:r>
                          </w:p>
                        </w:tc>
                        <w:tc>
                          <w:tcPr>
                            <w:tcW w:w="1265" w:type="dxa"/>
                          </w:tcPr>
                          <w:p w14:paraId="28A5DB9B"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r>
                      <w:tr w:rsidR="00BB3453" w:rsidRPr="00157A16" w14:paraId="4C9EDA92"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EC1595"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Light &amp; mobile charger</w:t>
                            </w:r>
                          </w:p>
                        </w:tc>
                        <w:tc>
                          <w:tcPr>
                            <w:tcW w:w="1137" w:type="dxa"/>
                          </w:tcPr>
                          <w:p w14:paraId="1204ABC1"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4</w:t>
                            </w:r>
                          </w:p>
                        </w:tc>
                        <w:tc>
                          <w:tcPr>
                            <w:tcW w:w="1137" w:type="dxa"/>
                          </w:tcPr>
                          <w:p w14:paraId="583DCE8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40</w:t>
                            </w:r>
                          </w:p>
                        </w:tc>
                        <w:tc>
                          <w:tcPr>
                            <w:tcW w:w="1137" w:type="dxa"/>
                          </w:tcPr>
                          <w:p w14:paraId="5629BCFB"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w:t>
                            </w:r>
                          </w:p>
                        </w:tc>
                        <w:tc>
                          <w:tcPr>
                            <w:tcW w:w="1265" w:type="dxa"/>
                          </w:tcPr>
                          <w:p w14:paraId="1A43C725"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353BA7BD"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12</w:t>
                            </w:r>
                          </w:p>
                        </w:tc>
                      </w:tr>
                      <w:tr w:rsidR="00BB3453" w:rsidRPr="00157A16" w14:paraId="6CFB0CC0"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0533F5E0"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Small multiroom lighting system</w:t>
                            </w:r>
                          </w:p>
                        </w:tc>
                        <w:tc>
                          <w:tcPr>
                            <w:tcW w:w="1137" w:type="dxa"/>
                          </w:tcPr>
                          <w:p w14:paraId="356C35E4"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6</w:t>
                            </w:r>
                          </w:p>
                        </w:tc>
                        <w:tc>
                          <w:tcPr>
                            <w:tcW w:w="1137" w:type="dxa"/>
                          </w:tcPr>
                          <w:p w14:paraId="135C496B"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w:t>
                            </w:r>
                          </w:p>
                        </w:tc>
                        <w:tc>
                          <w:tcPr>
                            <w:tcW w:w="1137" w:type="dxa"/>
                          </w:tcPr>
                          <w:p w14:paraId="56793C53"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w:t>
                            </w:r>
                          </w:p>
                        </w:tc>
                        <w:tc>
                          <w:tcPr>
                            <w:tcW w:w="1265" w:type="dxa"/>
                          </w:tcPr>
                          <w:p w14:paraId="040C2DAC"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6240DA14"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12</w:t>
                            </w:r>
                          </w:p>
                        </w:tc>
                      </w:tr>
                      <w:tr w:rsidR="00BB3453" w:rsidRPr="00157A16" w14:paraId="1D6F1F4D"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62519A2"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Basic solar home system</w:t>
                            </w:r>
                          </w:p>
                        </w:tc>
                        <w:tc>
                          <w:tcPr>
                            <w:tcW w:w="1137" w:type="dxa"/>
                          </w:tcPr>
                          <w:p w14:paraId="08554DA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10-20</w:t>
                            </w:r>
                          </w:p>
                        </w:tc>
                        <w:tc>
                          <w:tcPr>
                            <w:tcW w:w="1137" w:type="dxa"/>
                          </w:tcPr>
                          <w:p w14:paraId="4B916FA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220</w:t>
                            </w:r>
                          </w:p>
                        </w:tc>
                        <w:tc>
                          <w:tcPr>
                            <w:tcW w:w="1137" w:type="dxa"/>
                          </w:tcPr>
                          <w:p w14:paraId="25759EBB"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2C573AD6"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2978E17C"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24</w:t>
                            </w:r>
                          </w:p>
                        </w:tc>
                      </w:tr>
                      <w:tr w:rsidR="00BB3453" w:rsidRPr="00157A16" w14:paraId="1CD058F3" w14:textId="77777777" w:rsidTr="00B81948">
                        <w:tc>
                          <w:tcPr>
                            <w:cnfStyle w:val="001000000000" w:firstRow="0" w:lastRow="0" w:firstColumn="1" w:lastColumn="0" w:oddVBand="0" w:evenVBand="0" w:oddHBand="0" w:evenHBand="0" w:firstRowFirstColumn="0" w:firstRowLastColumn="0" w:lastRowFirstColumn="0" w:lastRowLastColumn="0"/>
                            <w:tcW w:w="2790" w:type="dxa"/>
                          </w:tcPr>
                          <w:p w14:paraId="4B108ADD"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Medium solar home system</w:t>
                            </w:r>
                          </w:p>
                        </w:tc>
                        <w:tc>
                          <w:tcPr>
                            <w:tcW w:w="1137" w:type="dxa"/>
                          </w:tcPr>
                          <w:p w14:paraId="54AC1B79"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w:t>
                            </w:r>
                          </w:p>
                        </w:tc>
                        <w:tc>
                          <w:tcPr>
                            <w:tcW w:w="1137" w:type="dxa"/>
                          </w:tcPr>
                          <w:p w14:paraId="69A6CCF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500</w:t>
                            </w:r>
                          </w:p>
                        </w:tc>
                        <w:tc>
                          <w:tcPr>
                            <w:tcW w:w="1137" w:type="dxa"/>
                          </w:tcPr>
                          <w:p w14:paraId="3F122208"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35B061E0"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4AA7A777"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24</w:t>
                            </w:r>
                          </w:p>
                        </w:tc>
                      </w:tr>
                      <w:tr w:rsidR="00BB3453" w:rsidRPr="00157A16" w14:paraId="1529ABC7" w14:textId="77777777" w:rsidTr="00B8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FF11826" w14:textId="77777777" w:rsidR="00BB3453" w:rsidRPr="00157A16" w:rsidRDefault="00BB3453" w:rsidP="00F90513">
                            <w:pPr>
                              <w:spacing w:after="90"/>
                              <w:rPr>
                                <w:rFonts w:cs="Segoe UI"/>
                                <w:b w:val="0"/>
                                <w:color w:val="366092" w:themeColor="text2"/>
                                <w:sz w:val="16"/>
                                <w:szCs w:val="16"/>
                              </w:rPr>
                            </w:pPr>
                            <w:r w:rsidRPr="00157A16">
                              <w:rPr>
                                <w:rFonts w:cs="Segoe UI"/>
                                <w:b w:val="0"/>
                                <w:color w:val="366092" w:themeColor="text2"/>
                                <w:sz w:val="16"/>
                                <w:szCs w:val="16"/>
                              </w:rPr>
                              <w:t>Large solar home system</w:t>
                            </w:r>
                          </w:p>
                        </w:tc>
                        <w:tc>
                          <w:tcPr>
                            <w:tcW w:w="1137" w:type="dxa"/>
                          </w:tcPr>
                          <w:p w14:paraId="5F385AA5"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200</w:t>
                            </w:r>
                          </w:p>
                        </w:tc>
                        <w:tc>
                          <w:tcPr>
                            <w:tcW w:w="1137" w:type="dxa"/>
                          </w:tcPr>
                          <w:p w14:paraId="0FFA5B10"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1,000</w:t>
                            </w:r>
                          </w:p>
                        </w:tc>
                        <w:tc>
                          <w:tcPr>
                            <w:tcW w:w="1137" w:type="dxa"/>
                          </w:tcPr>
                          <w:p w14:paraId="1284369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5</w:t>
                            </w:r>
                          </w:p>
                        </w:tc>
                        <w:tc>
                          <w:tcPr>
                            <w:tcW w:w="1265" w:type="dxa"/>
                          </w:tcPr>
                          <w:p w14:paraId="752F77DA"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Yes</w:t>
                            </w:r>
                          </w:p>
                        </w:tc>
                        <w:tc>
                          <w:tcPr>
                            <w:tcW w:w="1265" w:type="dxa"/>
                          </w:tcPr>
                          <w:p w14:paraId="3915D21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36</w:t>
                            </w:r>
                          </w:p>
                        </w:tc>
                      </w:tr>
                    </w:tbl>
                    <w:p w14:paraId="7AAFA896" w14:textId="77777777" w:rsidR="00BB3453" w:rsidRPr="00157A16" w:rsidRDefault="00BB3453" w:rsidP="00BB2DAB">
                      <w:pPr>
                        <w:spacing w:after="90"/>
                        <w:ind w:left="720"/>
                        <w:rPr>
                          <w:rFonts w:cs="Segoe UI"/>
                          <w:color w:val="366092" w:themeColor="text2"/>
                          <w:sz w:val="20"/>
                          <w:szCs w:val="20"/>
                        </w:rPr>
                      </w:pPr>
                    </w:p>
                    <w:p w14:paraId="3FE384A5" w14:textId="365B3ACC" w:rsidR="00BB3453" w:rsidRPr="009651D6" w:rsidRDefault="00BB3453" w:rsidP="00F57D5D">
                      <w:pPr>
                        <w:numPr>
                          <w:ilvl w:val="0"/>
                          <w:numId w:val="16"/>
                        </w:numPr>
                        <w:spacing w:after="90"/>
                        <w:rPr>
                          <w:rFonts w:cs="Segoe UI"/>
                          <w:color w:val="366092" w:themeColor="text2"/>
                          <w:sz w:val="18"/>
                          <w:szCs w:val="18"/>
                        </w:rPr>
                      </w:pPr>
                      <w:r w:rsidRPr="009651D6">
                        <w:rPr>
                          <w:rFonts w:cs="Segoe UI"/>
                          <w:color w:val="366092" w:themeColor="text2"/>
                          <w:sz w:val="18"/>
                          <w:szCs w:val="18"/>
                        </w:rPr>
                        <w:t xml:space="preserve">The price points assume that products are exempt from import duties. </w:t>
                      </w:r>
                    </w:p>
                    <w:p w14:paraId="1664750D" w14:textId="77777777" w:rsidR="00BB3453"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Consumer loans only available for small solar lanterns from year 4 onwards, as without PAYG payment platforms, consumer finance has limited operational viability</w:t>
                      </w:r>
                    </w:p>
                    <w:p w14:paraId="26EB35A9" w14:textId="77777777" w:rsidR="00BB3453" w:rsidRDefault="00BB3453" w:rsidP="006A7E1D">
                      <w:pPr>
                        <w:numPr>
                          <w:ilvl w:val="0"/>
                          <w:numId w:val="16"/>
                        </w:numPr>
                        <w:spacing w:after="90"/>
                        <w:rPr>
                          <w:rFonts w:cs="Segoe UI"/>
                          <w:color w:val="366092" w:themeColor="text2"/>
                          <w:sz w:val="18"/>
                          <w:szCs w:val="18"/>
                        </w:rPr>
                      </w:pPr>
                      <w:r>
                        <w:rPr>
                          <w:rFonts w:cs="Segoe UI"/>
                          <w:color w:val="366092" w:themeColor="text2"/>
                          <w:sz w:val="18"/>
                          <w:szCs w:val="18"/>
                        </w:rPr>
                        <w:t>Contribution margins vary from 30% for the smallest devices to 55% for the large solar home system</w:t>
                      </w:r>
                    </w:p>
                    <w:p w14:paraId="2876683E"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 xml:space="preserve">Distribution via a hub and spoke model leveraging third party store and agent networks; the partner networks are complemented with self-managed sales hubs and technical after-sales support staff. </w:t>
                      </w:r>
                    </w:p>
                    <w:p w14:paraId="6189CFD0" w14:textId="646C399E" w:rsidR="00BB3453"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Stores and agents require in-depth training on business skills, products, and financing options, and then receive sales commissions, for sale (7.5%) and referral (5%) respectively.</w:t>
                      </w:r>
                    </w:p>
                    <w:p w14:paraId="26EB4E12" w14:textId="4A13801E" w:rsidR="00BB3453" w:rsidRPr="00157A16" w:rsidRDefault="00BB3453" w:rsidP="006A7E1D">
                      <w:pPr>
                        <w:numPr>
                          <w:ilvl w:val="0"/>
                          <w:numId w:val="16"/>
                        </w:numPr>
                        <w:spacing w:after="90"/>
                        <w:rPr>
                          <w:rFonts w:cs="Segoe UI"/>
                          <w:color w:val="366092" w:themeColor="text2"/>
                          <w:sz w:val="18"/>
                          <w:szCs w:val="18"/>
                        </w:rPr>
                      </w:pPr>
                      <w:r>
                        <w:rPr>
                          <w:rFonts w:cs="Segoe UI"/>
                          <w:color w:val="366092" w:themeColor="text2"/>
                          <w:sz w:val="18"/>
                          <w:szCs w:val="18"/>
                        </w:rPr>
                        <w:t>Consumer loan default rate of 25%, based on consultations with international PAYG providers</w:t>
                      </w:r>
                    </w:p>
                    <w:p w14:paraId="7EF64EBA" w14:textId="77777777" w:rsidR="00BB3453" w:rsidRPr="006A5E47" w:rsidRDefault="00BB3453" w:rsidP="00BB2DAB">
                      <w:pPr>
                        <w:spacing w:after="100"/>
                        <w:rPr>
                          <w:rFonts w:cs="Segoe UI"/>
                          <w:b/>
                          <w:color w:val="366092" w:themeColor="text2"/>
                          <w:sz w:val="20"/>
                          <w:szCs w:val="20"/>
                        </w:rPr>
                      </w:pPr>
                      <w:r>
                        <w:rPr>
                          <w:rFonts w:cs="Segoe UI"/>
                          <w:b/>
                          <w:color w:val="366092" w:themeColor="text2"/>
                          <w:sz w:val="20"/>
                          <w:szCs w:val="20"/>
                        </w:rPr>
                        <w:t>Niger</w:t>
                      </w:r>
                      <w:r w:rsidRPr="006A5E47">
                        <w:rPr>
                          <w:rFonts w:cs="Segoe UI"/>
                          <w:b/>
                          <w:color w:val="366092" w:themeColor="text2"/>
                          <w:sz w:val="20"/>
                          <w:szCs w:val="20"/>
                        </w:rPr>
                        <w:t>-specific inputs</w:t>
                      </w:r>
                    </w:p>
                    <w:p w14:paraId="4A37328D" w14:textId="77777777" w:rsidR="00BB3453"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L</w:t>
                      </w:r>
                      <w:r w:rsidRPr="00157A16">
                        <w:rPr>
                          <w:rFonts w:cs="Segoe UI"/>
                          <w:color w:val="366092" w:themeColor="text2"/>
                          <w:sz w:val="18"/>
                          <w:szCs w:val="18"/>
                        </w:rPr>
                        <w:t>ow income levels combined with strong demand for phone charging capabilities leads to significant demand for the US$ 40 light and mobile charger</w:t>
                      </w:r>
                      <w:r>
                        <w:rPr>
                          <w:rFonts w:cs="Segoe UI"/>
                          <w:color w:val="366092" w:themeColor="text2"/>
                          <w:sz w:val="18"/>
                          <w:szCs w:val="18"/>
                        </w:rPr>
                        <w:t xml:space="preserve">; this was confirmed by focus group insights. </w:t>
                      </w:r>
                    </w:p>
                    <w:p w14:paraId="429B242A" w14:textId="77777777" w:rsidR="00BB3453" w:rsidRDefault="00BB3453" w:rsidP="006A7E1D">
                      <w:pPr>
                        <w:numPr>
                          <w:ilvl w:val="0"/>
                          <w:numId w:val="17"/>
                        </w:numPr>
                        <w:spacing w:after="90"/>
                        <w:rPr>
                          <w:rFonts w:cs="Segoe UI"/>
                          <w:color w:val="366092" w:themeColor="text2"/>
                          <w:sz w:val="18"/>
                          <w:szCs w:val="18"/>
                        </w:rPr>
                      </w:pPr>
                      <w:r w:rsidRPr="00157A16">
                        <w:rPr>
                          <w:rFonts w:cs="Segoe UI"/>
                          <w:color w:val="366092" w:themeColor="text2"/>
                          <w:sz w:val="18"/>
                          <w:szCs w:val="18"/>
                        </w:rPr>
                        <w:t>Relative to countries with easier access to international markets (e.g. non-landlocked), contribution margins are around 5-10 % lower reflecting higher inbound transportation costs</w:t>
                      </w:r>
                      <w:r>
                        <w:rPr>
                          <w:rFonts w:cs="Segoe UI"/>
                          <w:color w:val="366092" w:themeColor="text2"/>
                          <w:sz w:val="18"/>
                          <w:szCs w:val="18"/>
                        </w:rPr>
                        <w:t xml:space="preserve">. </w:t>
                      </w:r>
                    </w:p>
                    <w:p w14:paraId="54C72A09" w14:textId="77777777" w:rsidR="00BB3453" w:rsidRPr="00045F4B"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Inventory holding time assumed to be 120 days driven by l</w:t>
                      </w:r>
                      <w:r w:rsidRPr="00157A16">
                        <w:rPr>
                          <w:rFonts w:cs="Segoe UI"/>
                          <w:color w:val="366092" w:themeColor="text2"/>
                          <w:sz w:val="18"/>
                          <w:szCs w:val="18"/>
                        </w:rPr>
                        <w:t xml:space="preserve">ong </w:t>
                      </w:r>
                      <w:r>
                        <w:rPr>
                          <w:rFonts w:cs="Segoe UI"/>
                          <w:color w:val="366092" w:themeColor="text2"/>
                          <w:sz w:val="18"/>
                          <w:szCs w:val="18"/>
                        </w:rPr>
                        <w:t xml:space="preserve">delivery times for sourcing from abroad and </w:t>
                      </w:r>
                      <w:r w:rsidRPr="00157A16">
                        <w:rPr>
                          <w:rFonts w:cs="Segoe UI"/>
                          <w:color w:val="366092" w:themeColor="text2"/>
                          <w:sz w:val="18"/>
                          <w:szCs w:val="18"/>
                        </w:rPr>
                        <w:t xml:space="preserve">transfer of ownership </w:t>
                      </w:r>
                      <w:r>
                        <w:rPr>
                          <w:rFonts w:cs="Segoe UI"/>
                          <w:color w:val="366092" w:themeColor="text2"/>
                          <w:sz w:val="18"/>
                          <w:szCs w:val="18"/>
                        </w:rPr>
                        <w:t xml:space="preserve">(and full payment) </w:t>
                      </w:r>
                      <w:r w:rsidRPr="00157A16">
                        <w:rPr>
                          <w:rFonts w:cs="Segoe UI"/>
                          <w:color w:val="366092" w:themeColor="text2"/>
                          <w:sz w:val="18"/>
                          <w:szCs w:val="18"/>
                        </w:rPr>
                        <w:t>prior to shipment</w:t>
                      </w:r>
                      <w:r>
                        <w:rPr>
                          <w:rFonts w:cs="Segoe UI"/>
                          <w:color w:val="366092" w:themeColor="text2"/>
                          <w:sz w:val="18"/>
                          <w:szCs w:val="18"/>
                        </w:rPr>
                        <w:t>.</w:t>
                      </w:r>
                    </w:p>
                  </w:txbxContent>
                </v:textbox>
                <w10:wrap type="square" anchorx="margin"/>
              </v:rect>
            </w:pict>
          </mc:Fallback>
        </mc:AlternateContent>
      </w:r>
      <w:r>
        <w:rPr>
          <w:noProof/>
        </w:rPr>
        <mc:AlternateContent>
          <mc:Choice Requires="wps">
            <w:drawing>
              <wp:anchor distT="0" distB="0" distL="114300" distR="114300" simplePos="0" relativeHeight="251705344" behindDoc="0" locked="0" layoutInCell="1" allowOverlap="1" wp14:anchorId="58D614A3" wp14:editId="29903584">
                <wp:simplePos x="0" y="0"/>
                <wp:positionH relativeFrom="margin">
                  <wp:align>left</wp:align>
                </wp:positionH>
                <wp:positionV relativeFrom="paragraph">
                  <wp:posOffset>0</wp:posOffset>
                </wp:positionV>
                <wp:extent cx="5925185" cy="167640"/>
                <wp:effectExtent l="0" t="0" r="0" b="3810"/>
                <wp:wrapSquare wrapText="bothSides"/>
                <wp:docPr id="12" name="Text Box 12"/>
                <wp:cNvGraphicFramePr/>
                <a:graphic xmlns:a="http://schemas.openxmlformats.org/drawingml/2006/main">
                  <a:graphicData uri="http://schemas.microsoft.com/office/word/2010/wordprocessingShape">
                    <wps:wsp>
                      <wps:cNvSpPr txBox="1"/>
                      <wps:spPr>
                        <a:xfrm>
                          <a:off x="0" y="0"/>
                          <a:ext cx="5925185" cy="167640"/>
                        </a:xfrm>
                        <a:prstGeom prst="rect">
                          <a:avLst/>
                        </a:prstGeom>
                        <a:solidFill>
                          <a:prstClr val="white"/>
                        </a:solidFill>
                        <a:ln>
                          <a:noFill/>
                        </a:ln>
                      </wps:spPr>
                      <wps:txbx>
                        <w:txbxContent>
                          <w:p w14:paraId="77A47FBF" w14:textId="5CE2B2B7" w:rsidR="00BB3453" w:rsidRPr="00BE5FAE" w:rsidRDefault="00BB3453" w:rsidP="0099462C">
                            <w:pPr>
                              <w:pStyle w:val="Caption"/>
                              <w:rPr>
                                <w:rFonts w:cs="Segoe UI"/>
                                <w:noProof/>
                              </w:rPr>
                            </w:pPr>
                            <w:bookmarkStart w:id="180" w:name="_Ref475521817"/>
                            <w:bookmarkStart w:id="181" w:name="_Toc475649566"/>
                            <w:bookmarkStart w:id="182" w:name="_Toc500969359"/>
                            <w:r>
                              <w:t xml:space="preserve">Figure </w:t>
                            </w:r>
                            <w:fldSimple w:instr=" SEQ Figure \* ARABIC ">
                              <w:r>
                                <w:rPr>
                                  <w:noProof/>
                                </w:rPr>
                                <w:t>22</w:t>
                              </w:r>
                            </w:fldSimple>
                            <w:bookmarkEnd w:id="180"/>
                            <w:r>
                              <w:t>: Summary of inputs to the financial projections for a solar business in Niger</w:t>
                            </w:r>
                            <w:bookmarkEnd w:id="181"/>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614A3" id="Text Box 12" o:spid="_x0000_s1047" type="#_x0000_t202" style="position:absolute;left:0;text-align:left;margin-left:0;margin-top:0;width:466.55pt;height:13.2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" stroked="f">
                <v:textbox inset="0,0,0,0">
                  <w:txbxContent>
                    <w:p w14:paraId="77A47FBF" w14:textId="5CE2B2B7" w:rsidR="00BB3453" w:rsidRPr="00BE5FAE" w:rsidRDefault="00BB3453" w:rsidP="0099462C">
                      <w:pPr>
                        <w:pStyle w:val="Caption"/>
                        <w:rPr>
                          <w:rFonts w:cs="Segoe UI"/>
                          <w:noProof/>
                        </w:rPr>
                      </w:pPr>
                      <w:bookmarkStart w:id="202" w:name="_Ref475521817"/>
                      <w:bookmarkStart w:id="203" w:name="_Toc475649566"/>
                      <w:bookmarkStart w:id="204" w:name="_Toc500969359"/>
                      <w:r>
                        <w:t xml:space="preserve">Figure </w:t>
                      </w:r>
                      <w:fldSimple w:instr=" SEQ Figure \* ARABIC ">
                        <w:r>
                          <w:rPr>
                            <w:noProof/>
                          </w:rPr>
                          <w:t>22</w:t>
                        </w:r>
                      </w:fldSimple>
                      <w:bookmarkEnd w:id="202"/>
                      <w:r>
                        <w:t>: Summary of inputs to the financial projections for a solar business in Niger</w:t>
                      </w:r>
                      <w:bookmarkEnd w:id="203"/>
                      <w:bookmarkEnd w:id="204"/>
                    </w:p>
                  </w:txbxContent>
                </v:textbox>
                <w10:wrap type="square" anchorx="margin"/>
              </v:shape>
            </w:pict>
          </mc:Fallback>
        </mc:AlternateContent>
      </w:r>
    </w:p>
    <w:p w14:paraId="32A47688" w14:textId="6C13F91C" w:rsidR="00BB2DAB" w:rsidRDefault="00BB2DAB" w:rsidP="00BB2DAB">
      <w:pPr>
        <w:jc w:val="both"/>
        <w:rPr>
          <w:rFonts w:cs="Segoe UI"/>
        </w:rPr>
      </w:pPr>
      <w:r>
        <w:rPr>
          <w:rFonts w:cs="Segoe UI"/>
        </w:rPr>
        <w:lastRenderedPageBreak/>
        <w:t xml:space="preserve">To estimate the </w:t>
      </w:r>
      <w:r w:rsidRPr="009651D6">
        <w:rPr>
          <w:rFonts w:cs="Segoe UI"/>
        </w:rPr>
        <w:t>funding requirements for each intervention, we assume a target of reaching 20% of</w:t>
      </w:r>
      <w:r w:rsidR="001674CC" w:rsidRPr="009651D6">
        <w:rPr>
          <w:rFonts w:cs="Segoe UI"/>
        </w:rPr>
        <w:t xml:space="preserve"> off-grid households (around 630</w:t>
      </w:r>
      <w:r w:rsidRPr="009651D6">
        <w:rPr>
          <w:rFonts w:cs="Segoe UI"/>
        </w:rPr>
        <w:t>,000) over the 5-year period. This corresponds roughly to eight solar distributors growing exponentially over</w:t>
      </w:r>
      <w:r w:rsidR="001674CC" w:rsidRPr="009651D6">
        <w:rPr>
          <w:rFonts w:cs="Segoe UI"/>
        </w:rPr>
        <w:t xml:space="preserve"> five years to sales of around 6</w:t>
      </w:r>
      <w:r w:rsidR="002D57B6" w:rsidRPr="009651D6">
        <w:rPr>
          <w:rFonts w:cs="Segoe UI"/>
        </w:rPr>
        <w:t>5</w:t>
      </w:r>
      <w:r w:rsidRPr="009651D6">
        <w:rPr>
          <w:rFonts w:cs="Segoe UI"/>
        </w:rPr>
        <w:t xml:space="preserve">,000 solar lanterns and solar home systems </w:t>
      </w:r>
      <w:r w:rsidR="001674CC" w:rsidRPr="009651D6">
        <w:rPr>
          <w:rFonts w:cs="Segoe UI"/>
        </w:rPr>
        <w:t xml:space="preserve">each </w:t>
      </w:r>
      <w:r w:rsidRPr="009651D6">
        <w:rPr>
          <w:rFonts w:cs="Segoe UI"/>
        </w:rPr>
        <w:t>per year by year 5. Based on our consultations these numbers appear ambitious but attainable given the right interventions. We further assume that products are replaced after the useful lifetime of the system, and that 50% of on-grid households would</w:t>
      </w:r>
      <w:r w:rsidR="004E7E8C" w:rsidRPr="009651D6">
        <w:rPr>
          <w:rFonts w:cs="Segoe UI"/>
        </w:rPr>
        <w:t xml:space="preserve"> consider the</w:t>
      </w:r>
      <w:r w:rsidRPr="009651D6">
        <w:rPr>
          <w:rFonts w:cs="Segoe UI"/>
        </w:rPr>
        <w:t xml:space="preserve"> purchase </w:t>
      </w:r>
      <w:r w:rsidR="004E7E8C" w:rsidRPr="009651D6">
        <w:rPr>
          <w:rFonts w:cs="Segoe UI"/>
        </w:rPr>
        <w:t xml:space="preserve">of </w:t>
      </w:r>
      <w:r w:rsidRPr="009651D6">
        <w:rPr>
          <w:rFonts w:cs="Segoe UI"/>
        </w:rPr>
        <w:t>a solar system as backup option. Based</w:t>
      </w:r>
      <w:r>
        <w:rPr>
          <w:rFonts w:cs="Segoe UI"/>
        </w:rPr>
        <w:t xml:space="preserve"> on these assumptions, sales units per year inc</w:t>
      </w:r>
      <w:r w:rsidR="001674CC">
        <w:rPr>
          <w:rFonts w:cs="Segoe UI"/>
        </w:rPr>
        <w:t>rease from 15,000 in year 1 to 5</w:t>
      </w:r>
      <w:r>
        <w:rPr>
          <w:rFonts w:cs="Segoe UI"/>
        </w:rPr>
        <w:t>20,000 in year 5; solar lanterns as % of total sales</w:t>
      </w:r>
      <w:r w:rsidR="003C6BC3">
        <w:rPr>
          <w:rFonts w:cs="Segoe UI"/>
        </w:rPr>
        <w:t xml:space="preserve"> volume increases from around 45</w:t>
      </w:r>
      <w:r>
        <w:rPr>
          <w:rFonts w:cs="Segoe UI"/>
        </w:rPr>
        <w:t>% to 70% in year 5, mainly driven by increasing off-grid uptake of solar in geographic areas with higher demand for cheaper solutions. This volume growth translates into a compound annu</w:t>
      </w:r>
      <w:r w:rsidR="003C6BC3">
        <w:rPr>
          <w:rFonts w:cs="Segoe UI"/>
        </w:rPr>
        <w:t>al growth rate of revenues of 105</w:t>
      </w:r>
      <w:r>
        <w:rPr>
          <w:rFonts w:cs="Segoe UI"/>
        </w:rPr>
        <w:t>%, from around U</w:t>
      </w:r>
      <w:r w:rsidR="003C6BC3">
        <w:rPr>
          <w:rFonts w:cs="Segoe UI"/>
        </w:rPr>
        <w:t>S $2 million in year 1 to US $37</w:t>
      </w:r>
      <w:r>
        <w:rPr>
          <w:rFonts w:cs="Segoe UI"/>
        </w:rPr>
        <w:t xml:space="preserve"> million in year 5. Driven mainly by the assumption that consumer financing for small solar lanterns only becomes available from year 4 onwards (see</w:t>
      </w:r>
      <w:r w:rsidR="003C6BC3">
        <w:rPr>
          <w:rFonts w:cs="Segoe UI"/>
        </w:rPr>
        <w:t xml:space="preserve"> </w:t>
      </w:r>
      <w:r w:rsidR="003C6BC3">
        <w:rPr>
          <w:rFonts w:cs="Segoe UI"/>
        </w:rPr>
        <w:fldChar w:fldCharType="begin"/>
      </w:r>
      <w:r w:rsidR="003C6BC3">
        <w:rPr>
          <w:rFonts w:cs="Segoe UI"/>
        </w:rPr>
        <w:instrText xml:space="preserve"> REF _Ref475521817 \h </w:instrText>
      </w:r>
      <w:r w:rsidR="009651D6">
        <w:rPr>
          <w:rFonts w:cs="Segoe UI"/>
        </w:rPr>
        <w:instrText xml:space="preserve"> \* MERGEFORMAT </w:instrText>
      </w:r>
      <w:r w:rsidR="003C6BC3">
        <w:rPr>
          <w:rFonts w:cs="Segoe UI"/>
        </w:rPr>
      </w:r>
      <w:r w:rsidR="003C6BC3">
        <w:rPr>
          <w:rFonts w:cs="Segoe UI"/>
        </w:rPr>
        <w:fldChar w:fldCharType="separate"/>
      </w:r>
      <w:r w:rsidR="000D1C35">
        <w:t xml:space="preserve">Figure </w:t>
      </w:r>
      <w:r w:rsidR="000D1C35">
        <w:rPr>
          <w:noProof/>
        </w:rPr>
        <w:t>22</w:t>
      </w:r>
      <w:r w:rsidR="003C6BC3">
        <w:rPr>
          <w:rFonts w:cs="Segoe UI"/>
        </w:rPr>
        <w:fldChar w:fldCharType="end"/>
      </w:r>
      <w:r>
        <w:rPr>
          <w:rFonts w:cs="Segoe UI"/>
        </w:rPr>
        <w:t>), a signi</w:t>
      </w:r>
      <w:r w:rsidR="003C6BC3">
        <w:rPr>
          <w:rFonts w:cs="Segoe UI"/>
        </w:rPr>
        <w:t>ficant share of sales volume (47</w:t>
      </w:r>
      <w:r>
        <w:rPr>
          <w:rFonts w:cs="Segoe UI"/>
        </w:rPr>
        <w:t>% over the 5-year period) is generated through over-the-counter cash transactions.</w:t>
      </w:r>
    </w:p>
    <w:p w14:paraId="1DE70F07" w14:textId="77777777" w:rsidR="00BB2DAB" w:rsidRPr="00253CC7" w:rsidRDefault="00BB2DAB" w:rsidP="00955049">
      <w:pPr>
        <w:pStyle w:val="H4NEWreportStyle"/>
      </w:pPr>
      <w:r w:rsidRPr="00253CC7">
        <w:t>Inventory financ</w:t>
      </w:r>
      <w:r>
        <w:t>ing facility with associated guarantee scheme</w:t>
      </w:r>
    </w:p>
    <w:p w14:paraId="44382F1F" w14:textId="77777777" w:rsidR="00BB2DAB" w:rsidRDefault="00BB2DAB" w:rsidP="00BB2DAB">
      <w:pPr>
        <w:jc w:val="both"/>
        <w:rPr>
          <w:rFonts w:cs="Segoe UI"/>
        </w:rPr>
      </w:pPr>
      <w:r>
        <w:rPr>
          <w:rFonts w:cs="Segoe UI"/>
        </w:rPr>
        <w:t xml:space="preserve">Without access to non-restricted working capital finance, companies are not able to import sufficiently large volumes of solar home systems or solar lanterns to profitably establish distribution operations to private households. Inventory finance is key to growth, and especially in Niger, where inventories are typically paid for prior to dispatch from the supplier abroad, and then held on balance sheet for between 60-150 days. In more developed markets, banks provide access to inventory financing facilities, but in Niger this financial need is not yet served. </w:t>
      </w:r>
    </w:p>
    <w:p w14:paraId="3A749F37" w14:textId="77777777" w:rsidR="00BB2DAB" w:rsidRDefault="00BB2DAB" w:rsidP="00BB2DAB">
      <w:pPr>
        <w:jc w:val="both"/>
        <w:rPr>
          <w:rFonts w:cs="Segoe UI"/>
        </w:rPr>
      </w:pPr>
      <w:r>
        <w:rPr>
          <w:rFonts w:cs="Segoe UI"/>
        </w:rPr>
        <w:t xml:space="preserve">We recommend introducing an inventory financing facility, structured as a credit line in local currency provided to financial institutions. Making liquidity available to financial institutions at concessionary rates, and additionally backed with a credit guarantee scheme, provides an incentive for the local financial institutions to increase their lending to solar businesses, and will de-risk lending to the solar sector until banks have established the proof case of a viable market. </w:t>
      </w:r>
    </w:p>
    <w:p w14:paraId="270CCA7D" w14:textId="77777777" w:rsidR="00BB2DAB" w:rsidRDefault="00BB2DAB" w:rsidP="00BB2DAB">
      <w:pPr>
        <w:jc w:val="both"/>
        <w:rPr>
          <w:rFonts w:cs="Segoe UI"/>
        </w:rPr>
      </w:pPr>
      <w:r>
        <w:rPr>
          <w:rFonts w:cs="Segoe UI"/>
        </w:rPr>
        <w:t>Hereby, defining lending criteria together with the financial institutions will be of key importance to ensure fund usage is aligned with the goals of growing the solar industry. Further, the interest rate spread and TA support needs to be sufficient to incentivize financial institutions to engage in the market; international experiences have shown that too often credit lines and guarantee programs do not achieve the desired effect of infusing market liquidity.</w:t>
      </w:r>
    </w:p>
    <w:p w14:paraId="30C0D828" w14:textId="5F5FD784" w:rsidR="00BB2DAB" w:rsidRDefault="00A45F5B" w:rsidP="00BB2DAB">
      <w:pPr>
        <w:jc w:val="both"/>
        <w:rPr>
          <w:rFonts w:cs="Segoe UI"/>
        </w:rPr>
      </w:pPr>
      <w:r>
        <w:fldChar w:fldCharType="begin"/>
      </w:r>
      <w:r>
        <w:rPr>
          <w:rFonts w:cs="Segoe UI"/>
        </w:rPr>
        <w:instrText xml:space="preserve"> REF _Ref477425346 \h </w:instrText>
      </w:r>
      <w:r>
        <w:fldChar w:fldCharType="separate"/>
      </w:r>
      <w:r w:rsidR="000D1C35">
        <w:t xml:space="preserve">Table </w:t>
      </w:r>
      <w:r w:rsidR="000D1C35">
        <w:rPr>
          <w:noProof/>
        </w:rPr>
        <w:t>31</w:t>
      </w:r>
      <w:r>
        <w:fldChar w:fldCharType="end"/>
      </w:r>
      <w:r w:rsidR="00BB2DAB">
        <w:rPr>
          <w:rFonts w:cs="Segoe UI"/>
        </w:rPr>
        <w:t xml:space="preserve"> provides an overview of funding requirements for the inventory financing facility to reach 20% of off-grid households over a 5-year period.</w:t>
      </w:r>
    </w:p>
    <w:p w14:paraId="56F46F17" w14:textId="5198A63C" w:rsidR="00DA3BCF" w:rsidRDefault="00DA3BCF" w:rsidP="00DA3BCF">
      <w:pPr>
        <w:pStyle w:val="Caption"/>
      </w:pPr>
      <w:bookmarkStart w:id="183" w:name="_Ref477425346"/>
      <w:bookmarkStart w:id="184" w:name="_Toc500969395"/>
      <w:r>
        <w:lastRenderedPageBreak/>
        <w:t xml:space="preserve">Table </w:t>
      </w:r>
      <w:fldSimple w:instr=" SEQ Table \* ARABIC ">
        <w:r w:rsidR="000D1C35">
          <w:rPr>
            <w:noProof/>
          </w:rPr>
          <w:t>31</w:t>
        </w:r>
      </w:fldSimple>
      <w:bookmarkEnd w:id="183"/>
      <w:r>
        <w:t>: Inventory financing facility capitalization requirements</w:t>
      </w:r>
      <w:bookmarkEnd w:id="184"/>
    </w:p>
    <w:p w14:paraId="087B4581" w14:textId="1494B090" w:rsidR="00BB2DAB" w:rsidRDefault="00C34349" w:rsidP="00BB2DAB">
      <w:pPr>
        <w:jc w:val="both"/>
        <w:rPr>
          <w:rFonts w:cs="Segoe UI"/>
        </w:rPr>
      </w:pPr>
      <w:r w:rsidRPr="00C34349">
        <w:rPr>
          <w:noProof/>
        </w:rPr>
        <w:drawing>
          <wp:inline distT="0" distB="0" distL="0" distR="0" wp14:anchorId="3E8C9094" wp14:editId="42F9E95A">
            <wp:extent cx="5486400" cy="1005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005840"/>
                    </a:xfrm>
                    <a:prstGeom prst="rect">
                      <a:avLst/>
                    </a:prstGeom>
                    <a:noFill/>
                    <a:ln>
                      <a:noFill/>
                    </a:ln>
                  </pic:spPr>
                </pic:pic>
              </a:graphicData>
            </a:graphic>
          </wp:inline>
        </w:drawing>
      </w:r>
    </w:p>
    <w:p w14:paraId="7C260BD9" w14:textId="6CE5C504" w:rsidR="00BB2DAB" w:rsidRDefault="00BB2DAB" w:rsidP="00BB2DAB">
      <w:pPr>
        <w:jc w:val="both"/>
        <w:rPr>
          <w:rFonts w:cs="Segoe UI"/>
        </w:rPr>
      </w:pPr>
      <w:r>
        <w:rPr>
          <w:rFonts w:cs="Segoe UI"/>
        </w:rPr>
        <w:t xml:space="preserve">Over the years, inventories must be sourced in increasing volumes to support the strong sales growth; this immediately translates into larger stockholding and higher inventory financing needs. We assume a collateralization rate of 120% in the first two years, which then reduces to 100% from year 3 onwards. Due to the assumption of constant growth (i.e. no fluctuations in business performance), the inventory financing need shown in </w:t>
      </w:r>
      <w:r w:rsidR="00D001C1">
        <w:rPr>
          <w:rFonts w:cs="Segoe UI"/>
        </w:rPr>
        <w:fldChar w:fldCharType="begin"/>
      </w:r>
      <w:r w:rsidR="00D001C1">
        <w:rPr>
          <w:rFonts w:cs="Segoe UI"/>
        </w:rPr>
        <w:instrText xml:space="preserve"> REF _Ref477425346 \h </w:instrText>
      </w:r>
      <w:r w:rsidR="00D001C1">
        <w:rPr>
          <w:rFonts w:cs="Segoe UI"/>
        </w:rPr>
      </w:r>
      <w:r w:rsidR="00D001C1">
        <w:rPr>
          <w:rFonts w:cs="Segoe UI"/>
        </w:rPr>
        <w:fldChar w:fldCharType="separate"/>
      </w:r>
      <w:r w:rsidR="000D1C35">
        <w:t xml:space="preserve">Table </w:t>
      </w:r>
      <w:r w:rsidR="000D1C35">
        <w:rPr>
          <w:noProof/>
        </w:rPr>
        <w:t>31</w:t>
      </w:r>
      <w:r w:rsidR="00D001C1">
        <w:rPr>
          <w:rFonts w:cs="Segoe UI"/>
        </w:rPr>
        <w:fldChar w:fldCharType="end"/>
      </w:r>
      <w:r w:rsidR="00D001C1">
        <w:rPr>
          <w:rFonts w:cs="Segoe UI"/>
        </w:rPr>
        <w:t xml:space="preserve"> </w:t>
      </w:r>
      <w:r>
        <w:rPr>
          <w:rFonts w:cs="Segoe UI"/>
        </w:rPr>
        <w:t xml:space="preserve">represents the maximum level for any given year. Also, days-inventory-outstanding </w:t>
      </w:r>
      <w:r w:rsidR="00A637EE">
        <w:rPr>
          <w:rFonts w:cs="Segoe UI"/>
        </w:rPr>
        <w:t xml:space="preserve">are assumed to be 120, and </w:t>
      </w:r>
      <w:r>
        <w:rPr>
          <w:rFonts w:cs="Segoe UI"/>
        </w:rPr>
        <w:t xml:space="preserve">have been held constant, so potential improvements in supplier payment terms and improved sourcing efficiency over the years is ignored. Based on these assumptions, </w:t>
      </w:r>
      <w:r w:rsidRPr="0090113E">
        <w:rPr>
          <w:rFonts w:cs="Segoe UI"/>
        </w:rPr>
        <w:t xml:space="preserve">the facility capitalization requirement grows from around </w:t>
      </w:r>
      <w:r w:rsidRPr="00D91D34">
        <w:rPr>
          <w:rFonts w:cs="Segoe UI"/>
        </w:rPr>
        <w:t>US $</w:t>
      </w:r>
      <w:r w:rsidR="00D001C1" w:rsidRPr="00D91D34">
        <w:rPr>
          <w:rFonts w:cs="Segoe UI"/>
        </w:rPr>
        <w:t>365</w:t>
      </w:r>
      <w:r w:rsidRPr="00D91D34">
        <w:rPr>
          <w:rFonts w:cs="Segoe UI"/>
        </w:rPr>
        <w:t>,000 in year 1 to around US $</w:t>
      </w:r>
      <w:r w:rsidR="00D001C1" w:rsidRPr="00D91D34">
        <w:rPr>
          <w:rFonts w:cs="Segoe UI"/>
        </w:rPr>
        <w:t>9</w:t>
      </w:r>
      <w:r w:rsidRPr="00D91D34">
        <w:rPr>
          <w:rFonts w:cs="Segoe UI"/>
        </w:rPr>
        <w:t xml:space="preserve"> million in year 5. The average capitalization requirement</w:t>
      </w:r>
      <w:r>
        <w:rPr>
          <w:rFonts w:cs="Segoe UI"/>
        </w:rPr>
        <w:t xml:space="preserve"> per unit of stock decreases over the years as the sales mix increasingly shifts down the price ladder due to a relative shift of market into rural off-grid areas with lower purchasing power.</w:t>
      </w:r>
    </w:p>
    <w:p w14:paraId="5AA1878E" w14:textId="45D4D708" w:rsidR="00BB2DAB" w:rsidRDefault="00A45F5B" w:rsidP="00BB2DAB">
      <w:pPr>
        <w:jc w:val="both"/>
        <w:rPr>
          <w:rFonts w:cs="Segoe UI"/>
        </w:rPr>
      </w:pPr>
      <w:r>
        <w:rPr>
          <w:rFonts w:cs="Segoe UI"/>
        </w:rPr>
        <w:fldChar w:fldCharType="begin"/>
      </w:r>
      <w:r>
        <w:rPr>
          <w:rFonts w:cs="Segoe UI"/>
        </w:rPr>
        <w:instrText xml:space="preserve"> REF _Ref477425383 \h </w:instrText>
      </w:r>
      <w:r>
        <w:rPr>
          <w:rFonts w:cs="Segoe UI"/>
        </w:rPr>
      </w:r>
      <w:r>
        <w:rPr>
          <w:rFonts w:cs="Segoe UI"/>
        </w:rPr>
        <w:fldChar w:fldCharType="separate"/>
      </w:r>
      <w:r w:rsidR="000D1C35">
        <w:t xml:space="preserve">Table </w:t>
      </w:r>
      <w:r w:rsidR="000D1C35">
        <w:rPr>
          <w:noProof/>
        </w:rPr>
        <w:t>32</w:t>
      </w:r>
      <w:r>
        <w:rPr>
          <w:rFonts w:cs="Segoe UI"/>
        </w:rPr>
        <w:fldChar w:fldCharType="end"/>
      </w:r>
      <w:r>
        <w:rPr>
          <w:rFonts w:cs="Segoe UI"/>
        </w:rPr>
        <w:t xml:space="preserve"> </w:t>
      </w:r>
      <w:r w:rsidR="00BB2DAB">
        <w:rPr>
          <w:rFonts w:cs="Segoe UI"/>
        </w:rPr>
        <w:t>shows funding requirements for the credit guarantee scheme to cover irrecoverable amounts of lending by the financial institutions to solar businesses. In absence of empirical data to estimate what losses are likely to be incurred through irrecoverable debt, we focus on showing the maximum guarantee exposure at period-end for each year, as well as the maximum exposure across all inventories sourced. We assume a loss coverage of 100% in the first two years, 75% in year 3, 50% in year 4, and 25% in year 5.</w:t>
      </w:r>
    </w:p>
    <w:p w14:paraId="007BA5A2" w14:textId="0C3A1577" w:rsidR="00A45F5B" w:rsidRDefault="00A45F5B" w:rsidP="00A45F5B">
      <w:pPr>
        <w:pStyle w:val="Caption"/>
        <w:jc w:val="both"/>
      </w:pPr>
      <w:bookmarkStart w:id="185" w:name="_Ref477425383"/>
      <w:bookmarkStart w:id="186" w:name="_Toc500969396"/>
      <w:r>
        <w:t xml:space="preserve">Table </w:t>
      </w:r>
      <w:fldSimple w:instr=" SEQ Table \* ARABIC ">
        <w:r w:rsidR="000D1C35">
          <w:rPr>
            <w:noProof/>
          </w:rPr>
          <w:t>32</w:t>
        </w:r>
      </w:fldSimple>
      <w:bookmarkEnd w:id="185"/>
      <w:r>
        <w:t>: Credit guarantee scheme for inventory financing facility exposure levels</w:t>
      </w:r>
      <w:bookmarkEnd w:id="186"/>
    </w:p>
    <w:p w14:paraId="2BCA0D8B" w14:textId="66A1653D" w:rsidR="00BB2DAB" w:rsidRDefault="00F51696" w:rsidP="00BB2DAB">
      <w:pPr>
        <w:jc w:val="both"/>
        <w:rPr>
          <w:rFonts w:cs="Segoe UI"/>
        </w:rPr>
      </w:pPr>
      <w:r w:rsidRPr="00F51696">
        <w:rPr>
          <w:noProof/>
        </w:rPr>
        <w:drawing>
          <wp:inline distT="0" distB="0" distL="0" distR="0" wp14:anchorId="7037BC9B" wp14:editId="5380581B">
            <wp:extent cx="5495544" cy="10789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5544" cy="1078992"/>
                    </a:xfrm>
                    <a:prstGeom prst="rect">
                      <a:avLst/>
                    </a:prstGeom>
                    <a:noFill/>
                    <a:ln>
                      <a:noFill/>
                    </a:ln>
                  </pic:spPr>
                </pic:pic>
              </a:graphicData>
            </a:graphic>
          </wp:inline>
        </w:drawing>
      </w:r>
    </w:p>
    <w:p w14:paraId="01766518" w14:textId="7EC9633E" w:rsidR="00BB2DAB" w:rsidRDefault="00BB2DAB" w:rsidP="00BB2DAB">
      <w:pPr>
        <w:jc w:val="both"/>
        <w:rPr>
          <w:rFonts w:cs="Segoe UI"/>
        </w:rPr>
      </w:pPr>
      <w:r>
        <w:rPr>
          <w:rFonts w:cs="Segoe UI"/>
        </w:rPr>
        <w:t xml:space="preserve">The period-end maximum exposure is based on the credit line draw-down at the last day of the year; while credit line draw-down increases from year to year, the reduction in loss coverage prevents rapidly </w:t>
      </w:r>
      <w:r w:rsidRPr="00D91D34">
        <w:rPr>
          <w:rFonts w:cs="Segoe UI"/>
        </w:rPr>
        <w:t>increasing exposure. Year-end exposure lev</w:t>
      </w:r>
      <w:r w:rsidR="00F51696" w:rsidRPr="00D91D34">
        <w:rPr>
          <w:rFonts w:cs="Segoe UI"/>
        </w:rPr>
        <w:t>els increase from around US $365</w:t>
      </w:r>
      <w:r w:rsidRPr="00D91D34">
        <w:rPr>
          <w:rFonts w:cs="Segoe UI"/>
        </w:rPr>
        <w:t>,000</w:t>
      </w:r>
      <w:r w:rsidR="00F51696" w:rsidRPr="00D91D34">
        <w:rPr>
          <w:rFonts w:cs="Segoe UI"/>
        </w:rPr>
        <w:t xml:space="preserve"> in year 1 to around US $ 2.3</w:t>
      </w:r>
      <w:r w:rsidRPr="00D91D34">
        <w:rPr>
          <w:rFonts w:cs="Segoe UI"/>
        </w:rPr>
        <w:t xml:space="preserve"> million in year</w:t>
      </w:r>
      <w:r>
        <w:rPr>
          <w:rFonts w:cs="Segoe UI"/>
        </w:rPr>
        <w:t xml:space="preserve"> 5. Similarly, the maximum exposure based on the total cost of inventories sourced increases from US $ 1</w:t>
      </w:r>
      <w:r w:rsidR="00F51696">
        <w:rPr>
          <w:rFonts w:cs="Segoe UI"/>
        </w:rPr>
        <w:t>.4 million in year 1 to US $ 6.3</w:t>
      </w:r>
      <w:r>
        <w:rPr>
          <w:rFonts w:cs="Segoe UI"/>
        </w:rPr>
        <w:t xml:space="preserve"> million in year 5.</w:t>
      </w:r>
    </w:p>
    <w:p w14:paraId="3610FACC" w14:textId="77777777" w:rsidR="00BB2DAB" w:rsidRPr="00253CC7" w:rsidRDefault="00BB2DAB" w:rsidP="00955049">
      <w:pPr>
        <w:pStyle w:val="H4NEWreportStyle"/>
      </w:pPr>
      <w:r>
        <w:t>Consumer loan</w:t>
      </w:r>
      <w:r w:rsidRPr="00253CC7">
        <w:t xml:space="preserve"> financing facility with </w:t>
      </w:r>
      <w:r>
        <w:t>associated</w:t>
      </w:r>
      <w:r w:rsidRPr="00253CC7">
        <w:t xml:space="preserve"> guarantee</w:t>
      </w:r>
      <w:r>
        <w:t xml:space="preserve"> facility</w:t>
      </w:r>
    </w:p>
    <w:p w14:paraId="05D3F56A" w14:textId="7CD3F88B" w:rsidR="00F829C7" w:rsidRDefault="00BB2DAB" w:rsidP="00BB2DAB">
      <w:pPr>
        <w:jc w:val="both"/>
        <w:rPr>
          <w:rFonts w:cs="Segoe UI"/>
        </w:rPr>
      </w:pPr>
      <w:r>
        <w:rPr>
          <w:rFonts w:cs="Segoe UI"/>
        </w:rPr>
        <w:lastRenderedPageBreak/>
        <w:t xml:space="preserve">Simply making working capital finance available to solar businesses might not suffice to deeply stimulate uptake. Another key challenge, unanimously confirmed in all consultations, is lacking purchasing power of private households; widespread poverty and </w:t>
      </w:r>
      <w:r w:rsidR="003D575B">
        <w:rPr>
          <w:rFonts w:cs="Segoe UI"/>
        </w:rPr>
        <w:t>low income</w:t>
      </w:r>
      <w:r>
        <w:rPr>
          <w:rFonts w:cs="Segoe UI"/>
        </w:rPr>
        <w:t xml:space="preserve"> levels, especially in semi-rural and rural areas, mean that few Nigeriens can afford solar technology at current market prices. Therefore, consumer financing will be key to unlocking a substantial share of </w:t>
      </w:r>
      <w:r w:rsidRPr="00BF7EB6">
        <w:rPr>
          <w:rFonts w:cs="Segoe UI"/>
        </w:rPr>
        <w:t xml:space="preserve">the demand for solar products. </w:t>
      </w:r>
    </w:p>
    <w:p w14:paraId="19D9EBBB" w14:textId="70492A2F" w:rsidR="00E43447" w:rsidRDefault="00561487" w:rsidP="00340D10">
      <w:pPr>
        <w:jc w:val="both"/>
        <w:rPr>
          <w:rFonts w:cs="Segoe UI"/>
        </w:rPr>
      </w:pPr>
      <w:r w:rsidRPr="00BF7EB6">
        <w:rPr>
          <w:rFonts w:cs="Segoe UI"/>
        </w:rPr>
        <w:t>An estimated 98% of the Nigerien population are Muslims</w:t>
      </w:r>
      <w:r w:rsidRPr="00BF7EB6">
        <w:rPr>
          <w:rStyle w:val="FootnoteReference"/>
          <w:rFonts w:cs="Segoe UI"/>
        </w:rPr>
        <w:footnoteReference w:id="78"/>
      </w:r>
      <w:r w:rsidRPr="00BF7EB6">
        <w:rPr>
          <w:rFonts w:cs="Segoe UI"/>
        </w:rPr>
        <w:t xml:space="preserve">, </w:t>
      </w:r>
      <w:r w:rsidR="003D575B" w:rsidRPr="00BF7EB6">
        <w:rPr>
          <w:rFonts w:cs="Segoe UI"/>
        </w:rPr>
        <w:t xml:space="preserve">so offering Sharia compliant financial services will be </w:t>
      </w:r>
      <w:r w:rsidR="00475712" w:rsidRPr="00BF7EB6">
        <w:rPr>
          <w:rFonts w:cs="Segoe UI"/>
        </w:rPr>
        <w:t xml:space="preserve">an important consideration in </w:t>
      </w:r>
      <w:r w:rsidR="003D575B" w:rsidRPr="00BF7EB6">
        <w:rPr>
          <w:rFonts w:cs="Segoe UI"/>
        </w:rPr>
        <w:t>st</w:t>
      </w:r>
      <w:r w:rsidR="00B55C3A">
        <w:rPr>
          <w:rFonts w:cs="Segoe UI"/>
        </w:rPr>
        <w:t>imulating broad uptake of consumer financing schemes. In Islamic finance, money is not to be</w:t>
      </w:r>
      <w:r w:rsidR="00882EB0">
        <w:rPr>
          <w:rFonts w:cs="Segoe UI"/>
        </w:rPr>
        <w:t xml:space="preserve"> </w:t>
      </w:r>
      <w:r w:rsidR="00B55C3A">
        <w:rPr>
          <w:rFonts w:cs="Segoe UI"/>
        </w:rPr>
        <w:t>seen as commodity for which a price is charged, instead it serves as a medium of exchange, a store of value, or a unit of measurement.</w:t>
      </w:r>
      <w:r w:rsidR="00E237AD">
        <w:rPr>
          <w:rStyle w:val="FootnoteReference"/>
          <w:rFonts w:cs="Segoe UI"/>
        </w:rPr>
        <w:footnoteReference w:id="79"/>
      </w:r>
      <w:r w:rsidR="00B55C3A">
        <w:rPr>
          <w:rFonts w:cs="Segoe UI"/>
        </w:rPr>
        <w:t xml:space="preserve"> </w:t>
      </w:r>
      <w:r w:rsidR="00882EB0">
        <w:rPr>
          <w:rFonts w:cs="Segoe UI"/>
        </w:rPr>
        <w:t>As a direct consequence, receiving interest on loans is not allowed under Sharia, and banks must earn their profits by other means, such as profit-sharing related to the assets financed, or fees for the services provided.</w:t>
      </w:r>
      <w:r w:rsidR="00F543FE">
        <w:rPr>
          <w:rFonts w:cs="Segoe UI"/>
        </w:rPr>
        <w:t xml:space="preserve"> </w:t>
      </w:r>
      <w:r w:rsidR="00882EB0">
        <w:rPr>
          <w:rFonts w:cs="Segoe UI"/>
        </w:rPr>
        <w:t>Suitable approaches, compliant to Sharia banking, to provide consumer finance for solar products would include Murabaha and Ijara.</w:t>
      </w:r>
      <w:r w:rsidR="00E43447">
        <w:rPr>
          <w:rFonts w:cs="Segoe UI"/>
        </w:rPr>
        <w:t xml:space="preserve"> With the Murabaha approach, the bank would buy the solar product and then sell it to the end customer collecting installment payments over time. The installment payments include a fixed, pre-defined profit mark-up. Ijara, in contrast, is a lease finance agreement</w:t>
      </w:r>
      <w:r w:rsidR="00F543FE">
        <w:rPr>
          <w:rFonts w:cs="Segoe UI"/>
        </w:rPr>
        <w:t>,</w:t>
      </w:r>
      <w:r w:rsidR="00E43447">
        <w:rPr>
          <w:rFonts w:cs="Segoe UI"/>
        </w:rPr>
        <w:t xml:space="preserve"> whereby the bank buys the solar product and leases it to the end customer for a speci</w:t>
      </w:r>
      <w:r w:rsidR="00F543FE">
        <w:rPr>
          <w:rFonts w:cs="Segoe UI"/>
        </w:rPr>
        <w:t xml:space="preserve">fied </w:t>
      </w:r>
      <w:r w:rsidR="00E43447">
        <w:rPr>
          <w:rFonts w:cs="Segoe UI"/>
        </w:rPr>
        <w:t xml:space="preserve">period </w:t>
      </w:r>
      <w:r w:rsidR="00F543FE">
        <w:rPr>
          <w:rFonts w:cs="Segoe UI"/>
        </w:rPr>
        <w:t xml:space="preserve">and </w:t>
      </w:r>
      <w:r w:rsidR="00E43447">
        <w:rPr>
          <w:rFonts w:cs="Segoe UI"/>
        </w:rPr>
        <w:t>lease payments. The ownership of the asset remains with the bank, but title to the property can be transferred when all payments have been made.</w:t>
      </w:r>
      <w:r w:rsidR="00774FEF" w:rsidRPr="00774FEF">
        <w:rPr>
          <w:rStyle w:val="FootnoteReference"/>
          <w:rFonts w:cs="Segoe UI"/>
        </w:rPr>
        <w:t xml:space="preserve"> </w:t>
      </w:r>
      <w:r w:rsidR="00774FEF">
        <w:rPr>
          <w:rStyle w:val="FootnoteReference"/>
          <w:rFonts w:cs="Segoe UI"/>
        </w:rPr>
        <w:footnoteReference w:id="80"/>
      </w:r>
      <w:r w:rsidR="00E43447">
        <w:rPr>
          <w:rFonts w:cs="Segoe UI"/>
        </w:rPr>
        <w:t xml:space="preserve"> </w:t>
      </w:r>
    </w:p>
    <w:p w14:paraId="6D9A1218" w14:textId="74E39419" w:rsidR="00BB2DAB" w:rsidRDefault="00A368D6" w:rsidP="00BB2DAB">
      <w:pPr>
        <w:jc w:val="both"/>
        <w:rPr>
          <w:rFonts w:cs="Segoe UI"/>
        </w:rPr>
      </w:pPr>
      <w:r w:rsidRPr="00BF7EB6">
        <w:rPr>
          <w:rFonts w:cs="Segoe UI"/>
        </w:rPr>
        <w:t>As none of the current solar distributors have PAYG technology platforms, the best option for provision of consumer financing schemes in the short term is through local MFIs, such as ASUSU.</w:t>
      </w:r>
      <w:r>
        <w:rPr>
          <w:rFonts w:cs="Segoe UI"/>
        </w:rPr>
        <w:t xml:space="preserve"> </w:t>
      </w:r>
      <w:r w:rsidR="00BB2DAB" w:rsidRPr="00BF7EB6">
        <w:rPr>
          <w:rFonts w:cs="Segoe UI"/>
        </w:rPr>
        <w:t xml:space="preserve">The success of </w:t>
      </w:r>
      <w:r>
        <w:rPr>
          <w:rFonts w:cs="Segoe UI"/>
        </w:rPr>
        <w:t xml:space="preserve">such </w:t>
      </w:r>
      <w:r w:rsidR="00BB2DAB" w:rsidRPr="00BF7EB6">
        <w:rPr>
          <w:rFonts w:cs="Segoe UI"/>
        </w:rPr>
        <w:t>partnership programs between solar distributors and MFIs will largely depend on the commitment and investment from both sides, and a significant integration and alignment will be required for success. Key challenges typically</w:t>
      </w:r>
      <w:r w:rsidR="00BB2DAB">
        <w:rPr>
          <w:rFonts w:cs="Segoe UI"/>
        </w:rPr>
        <w:t xml:space="preserve"> faced in such partnerships are </w:t>
      </w:r>
      <w:r w:rsidR="00312066">
        <w:rPr>
          <w:rFonts w:cs="Segoe UI"/>
        </w:rPr>
        <w:t xml:space="preserve">among other </w:t>
      </w:r>
      <w:r w:rsidR="00BB2DAB">
        <w:rPr>
          <w:rFonts w:cs="Segoe UI"/>
        </w:rPr>
        <w:t>(i) lacking proximity of product sales points and MFI branches/agents; (ii) cumbersome credit assessment processes</w:t>
      </w:r>
      <w:r w:rsidR="00410C0C">
        <w:rPr>
          <w:rFonts w:cs="Segoe UI"/>
        </w:rPr>
        <w:t xml:space="preserve">; </w:t>
      </w:r>
      <w:r w:rsidR="00BB2DAB">
        <w:rPr>
          <w:rFonts w:cs="Segoe UI"/>
        </w:rPr>
        <w:t>(iii) onerous loan terms</w:t>
      </w:r>
      <w:r w:rsidR="00410C0C">
        <w:rPr>
          <w:rFonts w:cs="Segoe UI"/>
        </w:rPr>
        <w:t xml:space="preserve">; (iv) lacking </w:t>
      </w:r>
      <w:r w:rsidR="00312066">
        <w:rPr>
          <w:rFonts w:cs="Segoe UI"/>
        </w:rPr>
        <w:t>integration and</w:t>
      </w:r>
      <w:r w:rsidR="00410C0C">
        <w:rPr>
          <w:rFonts w:cs="Segoe UI"/>
        </w:rPr>
        <w:t xml:space="preserve"> communication</w:t>
      </w:r>
      <w:r w:rsidR="00312066">
        <w:rPr>
          <w:rFonts w:cs="Segoe UI"/>
        </w:rPr>
        <w:t xml:space="preserve"> between the partners; (v) undefined responsibilities, especially related to after-sales services; (vi) lacking strategic intent;</w:t>
      </w:r>
      <w:r w:rsidR="00401162">
        <w:rPr>
          <w:rFonts w:cs="Segoe UI"/>
        </w:rPr>
        <w:t xml:space="preserve"> and</w:t>
      </w:r>
      <w:r w:rsidR="00312066">
        <w:rPr>
          <w:rFonts w:cs="Segoe UI"/>
        </w:rPr>
        <w:t xml:space="preserve"> (vii) distrust and concerns about reputational risk. </w:t>
      </w:r>
      <w:r w:rsidR="00312578">
        <w:rPr>
          <w:rFonts w:cs="Segoe UI"/>
        </w:rPr>
        <w:t>An example often stated is that i</w:t>
      </w:r>
      <w:r w:rsidR="00BB2DAB">
        <w:rPr>
          <w:rFonts w:cs="Segoe UI"/>
        </w:rPr>
        <w:t>f a customer sees the solar system in a shop, she will then need to travel to a (distant) MFI branch to apply for the loan, which might take weeks to process (potentially involving multiple return travels to the MFI branch), only to then receive a loan approval subject to high collateral provision and payment of excessive interest rates. Therefore, we recommend significant time and resource allocation to TA provision to both parties involved in such partnerships to increase the probability of success. In addition, lending rates and terms need to be reflective of target customer needs, and be contractually agreed upfront.</w:t>
      </w:r>
    </w:p>
    <w:p w14:paraId="4AB5034D" w14:textId="5198428F" w:rsidR="00BB2DAB" w:rsidRDefault="00BB2DAB" w:rsidP="00BB2DAB">
      <w:pPr>
        <w:jc w:val="both"/>
        <w:rPr>
          <w:rFonts w:cs="Segoe UI"/>
        </w:rPr>
      </w:pPr>
      <w:r>
        <w:rPr>
          <w:rFonts w:cs="Segoe UI"/>
        </w:rPr>
        <w:t xml:space="preserve">To increase market liquidity for MFI lending to private households for purchases of solar technology, we recommend a consumer loan facility, i.e. a rolling credit line provided to the MFI at concessionary terms. </w:t>
      </w:r>
      <w:r w:rsidR="005752F3">
        <w:rPr>
          <w:rFonts w:cs="Segoe UI"/>
        </w:rPr>
        <w:lastRenderedPageBreak/>
        <w:fldChar w:fldCharType="begin"/>
      </w:r>
      <w:r w:rsidR="005752F3">
        <w:rPr>
          <w:rFonts w:cs="Segoe UI"/>
        </w:rPr>
        <w:instrText xml:space="preserve"> REF _Ref477425423 \h </w:instrText>
      </w:r>
      <w:r w:rsidR="005752F3">
        <w:rPr>
          <w:rFonts w:cs="Segoe UI"/>
        </w:rPr>
      </w:r>
      <w:r w:rsidR="005752F3">
        <w:rPr>
          <w:rFonts w:cs="Segoe UI"/>
        </w:rPr>
        <w:fldChar w:fldCharType="separate"/>
      </w:r>
      <w:r w:rsidR="000D1C35">
        <w:t xml:space="preserve">Table </w:t>
      </w:r>
      <w:r w:rsidR="000D1C35">
        <w:rPr>
          <w:noProof/>
        </w:rPr>
        <w:t>33</w:t>
      </w:r>
      <w:r w:rsidR="005752F3">
        <w:rPr>
          <w:rFonts w:cs="Segoe UI"/>
        </w:rPr>
        <w:fldChar w:fldCharType="end"/>
      </w:r>
      <w:r w:rsidR="005752F3">
        <w:rPr>
          <w:rFonts w:cs="Segoe UI"/>
        </w:rPr>
        <w:t xml:space="preserve"> </w:t>
      </w:r>
      <w:r>
        <w:rPr>
          <w:rFonts w:cs="Segoe UI"/>
        </w:rPr>
        <w:t>shows the capitalization requirements for the facility, again based on the target of reaching 20% of off-grid households with solar solutions.</w:t>
      </w:r>
      <w:r w:rsidR="00537BD3">
        <w:rPr>
          <w:rStyle w:val="FootnoteReference"/>
          <w:rFonts w:cs="Segoe UI"/>
        </w:rPr>
        <w:footnoteReference w:id="81"/>
      </w:r>
    </w:p>
    <w:p w14:paraId="4DDD13D6" w14:textId="77777777" w:rsidR="00B164F5" w:rsidRPr="00B164F5" w:rsidRDefault="00B164F5" w:rsidP="00B164F5">
      <w:pPr>
        <w:jc w:val="both"/>
        <w:rPr>
          <w:rFonts w:cs="Segoe UI"/>
        </w:rPr>
      </w:pPr>
    </w:p>
    <w:p w14:paraId="3C082175" w14:textId="1CE037D8" w:rsidR="005752F3" w:rsidRDefault="005752F3" w:rsidP="005752F3">
      <w:pPr>
        <w:pStyle w:val="Caption"/>
        <w:jc w:val="both"/>
      </w:pPr>
      <w:bookmarkStart w:id="187" w:name="_Ref477425423"/>
      <w:bookmarkStart w:id="188" w:name="_Toc500969397"/>
      <w:r>
        <w:t xml:space="preserve">Table </w:t>
      </w:r>
      <w:fldSimple w:instr=" SEQ Table \* ARABIC ">
        <w:r w:rsidR="000D1C35">
          <w:rPr>
            <w:noProof/>
          </w:rPr>
          <w:t>33</w:t>
        </w:r>
      </w:fldSimple>
      <w:bookmarkEnd w:id="187"/>
      <w:r>
        <w:t>: Consumer loan financing facility capitalization requirements</w:t>
      </w:r>
      <w:bookmarkEnd w:id="188"/>
    </w:p>
    <w:p w14:paraId="1AD9862F" w14:textId="0340670E" w:rsidR="00BB2DAB" w:rsidRDefault="00F815F3" w:rsidP="00BB2DAB">
      <w:pPr>
        <w:jc w:val="both"/>
        <w:rPr>
          <w:rFonts w:cs="Segoe UI"/>
        </w:rPr>
      </w:pPr>
      <w:r w:rsidRPr="00F815F3">
        <w:rPr>
          <w:noProof/>
        </w:rPr>
        <w:drawing>
          <wp:inline distT="0" distB="0" distL="0" distR="0" wp14:anchorId="443AB3BE" wp14:editId="509D4358">
            <wp:extent cx="5495544" cy="128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5544" cy="1280160"/>
                    </a:xfrm>
                    <a:prstGeom prst="rect">
                      <a:avLst/>
                    </a:prstGeom>
                    <a:noFill/>
                    <a:ln>
                      <a:noFill/>
                    </a:ln>
                  </pic:spPr>
                </pic:pic>
              </a:graphicData>
            </a:graphic>
          </wp:inline>
        </w:drawing>
      </w:r>
    </w:p>
    <w:p w14:paraId="25FD7E89" w14:textId="09BAAFED" w:rsidR="00BB2DAB" w:rsidRDefault="00BB2DAB" w:rsidP="00BB2DAB">
      <w:pPr>
        <w:jc w:val="both"/>
        <w:rPr>
          <w:rFonts w:cs="Segoe UI"/>
        </w:rPr>
      </w:pPr>
      <w:r>
        <w:rPr>
          <w:rFonts w:cs="Segoe UI"/>
        </w:rPr>
        <w:t>The number of units sold with consumer financing increases from ar</w:t>
      </w:r>
      <w:r w:rsidR="00D81AA1">
        <w:rPr>
          <w:rFonts w:cs="Segoe UI"/>
        </w:rPr>
        <w:t>ound 9,000 in year 1 to around 2</w:t>
      </w:r>
      <w:r>
        <w:rPr>
          <w:rFonts w:cs="Segoe UI"/>
        </w:rPr>
        <w:t>80,000 in year 5; active financing agreements i</w:t>
      </w:r>
      <w:r w:rsidR="00D81AA1">
        <w:rPr>
          <w:rFonts w:cs="Segoe UI"/>
        </w:rPr>
        <w:t>ncrease from 9,000 to around 315</w:t>
      </w:r>
      <w:r>
        <w:rPr>
          <w:rFonts w:cs="Segoe UI"/>
        </w:rPr>
        <w:t xml:space="preserve">,000. This translates into a significant increase in gross receivables (consumer loans) held on the balance sheet of the MFI, with </w:t>
      </w:r>
      <w:r w:rsidR="00D81AA1">
        <w:rPr>
          <w:rFonts w:cs="Segoe UI"/>
        </w:rPr>
        <w:t xml:space="preserve">gross </w:t>
      </w:r>
      <w:r>
        <w:rPr>
          <w:rFonts w:cs="Segoe UI"/>
        </w:rPr>
        <w:t>receivabl</w:t>
      </w:r>
      <w:r w:rsidR="00D81AA1">
        <w:rPr>
          <w:rFonts w:cs="Segoe UI"/>
        </w:rPr>
        <w:t>es increasing from around US $740,000 in year 1 to nearly US $24</w:t>
      </w:r>
      <w:r>
        <w:rPr>
          <w:rFonts w:cs="Segoe UI"/>
        </w:rPr>
        <w:t xml:space="preserve"> million in year 5. We assume an advance rate of 80% in years 1 and 2, which then increases to 85% and subsequently 90% in years 4 and 5. Based on these assumptions, the fund capitalization requirement increases from </w:t>
      </w:r>
      <w:r w:rsidR="00D81AA1">
        <w:rPr>
          <w:rFonts w:cs="Segoe UI"/>
        </w:rPr>
        <w:t>around US $600,000 in year 1 to US$ 22</w:t>
      </w:r>
      <w:r>
        <w:rPr>
          <w:rFonts w:cs="Segoe UI"/>
        </w:rPr>
        <w:t xml:space="preserve"> million in year 5. Over the years, the fund capitalization requirement per active financ</w:t>
      </w:r>
      <w:r w:rsidR="00D81AA1">
        <w:rPr>
          <w:rFonts w:cs="Segoe UI"/>
        </w:rPr>
        <w:t>ing agreement ranges from US $63 to US $69</w:t>
      </w:r>
      <w:r>
        <w:rPr>
          <w:rFonts w:cs="Segoe UI"/>
        </w:rPr>
        <w:t>.</w:t>
      </w:r>
    </w:p>
    <w:p w14:paraId="08EC0FDC" w14:textId="77777777" w:rsidR="00BB2DAB" w:rsidRDefault="00BB2DAB" w:rsidP="00BB2DAB">
      <w:pPr>
        <w:jc w:val="both"/>
        <w:rPr>
          <w:rFonts w:cs="Segoe UI"/>
        </w:rPr>
      </w:pPr>
      <w:r>
        <w:rPr>
          <w:rFonts w:cs="Segoe UI"/>
        </w:rPr>
        <w:t xml:space="preserve">We believe that the consumer loan facility will need to be coupled with a credit guarantee scheme; else MFIs are unlikely to be willing to make the significant changes to their credit assessment processes and appetite for risk required to ensure fast uptake and reach into segments previously unbanked. </w:t>
      </w:r>
    </w:p>
    <w:p w14:paraId="63292657" w14:textId="61F11B46" w:rsidR="00BB2DAB" w:rsidRDefault="005752F3" w:rsidP="00BB2DAB">
      <w:pPr>
        <w:jc w:val="both"/>
        <w:rPr>
          <w:rFonts w:cs="Segoe UI"/>
        </w:rPr>
      </w:pPr>
      <w:r>
        <w:fldChar w:fldCharType="begin"/>
      </w:r>
      <w:r>
        <w:rPr>
          <w:rFonts w:cs="Segoe UI"/>
        </w:rPr>
        <w:instrText xml:space="preserve"> REF _Ref477425457 \h </w:instrText>
      </w:r>
      <w:r>
        <w:fldChar w:fldCharType="separate"/>
      </w:r>
      <w:r w:rsidR="000D1C35">
        <w:t xml:space="preserve">Table </w:t>
      </w:r>
      <w:r w:rsidR="000D1C35">
        <w:rPr>
          <w:noProof/>
        </w:rPr>
        <w:t>34</w:t>
      </w:r>
      <w:r>
        <w:fldChar w:fldCharType="end"/>
      </w:r>
      <w:r w:rsidR="00BB2DAB">
        <w:rPr>
          <w:rFonts w:cs="Segoe UI"/>
        </w:rPr>
        <w:t xml:space="preserve"> provides an overview of the risk exposure and an estimated total loss coverage for such a guarantee program.</w:t>
      </w:r>
    </w:p>
    <w:p w14:paraId="44585D36" w14:textId="4F5AD22B" w:rsidR="005752F3" w:rsidRDefault="005752F3" w:rsidP="005752F3">
      <w:pPr>
        <w:pStyle w:val="Caption"/>
      </w:pPr>
      <w:bookmarkStart w:id="189" w:name="_Ref477425457"/>
      <w:bookmarkStart w:id="190" w:name="_Toc500969398"/>
      <w:r>
        <w:t xml:space="preserve">Table </w:t>
      </w:r>
      <w:fldSimple w:instr=" SEQ Table \* ARABIC ">
        <w:r w:rsidR="000D1C35">
          <w:rPr>
            <w:noProof/>
          </w:rPr>
          <w:t>34</w:t>
        </w:r>
      </w:fldSimple>
      <w:bookmarkEnd w:id="189"/>
      <w:r>
        <w:t>: Credit guarantee scheme for consumer finance loan facility exposure levels</w:t>
      </w:r>
      <w:bookmarkEnd w:id="190"/>
    </w:p>
    <w:p w14:paraId="61D0915E" w14:textId="103C81DE" w:rsidR="00BB2DAB" w:rsidRDefault="00783E8B" w:rsidP="00BB2DAB">
      <w:pPr>
        <w:jc w:val="both"/>
        <w:rPr>
          <w:rFonts w:cs="Segoe UI"/>
        </w:rPr>
      </w:pPr>
      <w:r w:rsidRPr="00783E8B">
        <w:rPr>
          <w:noProof/>
        </w:rPr>
        <w:drawing>
          <wp:inline distT="0" distB="0" distL="0" distR="0" wp14:anchorId="7666624D" wp14:editId="27C3D44A">
            <wp:extent cx="5504688" cy="1618488"/>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4688" cy="1618488"/>
                    </a:xfrm>
                    <a:prstGeom prst="rect">
                      <a:avLst/>
                    </a:prstGeom>
                    <a:noFill/>
                    <a:ln>
                      <a:noFill/>
                    </a:ln>
                  </pic:spPr>
                </pic:pic>
              </a:graphicData>
            </a:graphic>
          </wp:inline>
        </w:drawing>
      </w:r>
    </w:p>
    <w:p w14:paraId="1965B917" w14:textId="77777777" w:rsidR="00BB2DAB" w:rsidRDefault="00BB2DAB" w:rsidP="00BB2DAB">
      <w:pPr>
        <w:jc w:val="both"/>
        <w:rPr>
          <w:rFonts w:cs="Segoe UI"/>
        </w:rPr>
      </w:pPr>
      <w:r>
        <w:rPr>
          <w:rFonts w:cs="Segoe UI"/>
        </w:rPr>
        <w:lastRenderedPageBreak/>
        <w:t>The period-end maximum exposure relates to the consumer financing agreements active as at year end, whereby the maximum exposure covers the total risk of all financing agreements entered. We believe the guarantee level would need to be set high in the first years to ensure full commitment of the MFI, while simultaneously the MFI needs to be exposed to some risk to ensure diligent, while efficient credit assessment processes are in place; we assume a loss coverage of 75% in years 1 and 2, 50% in years 3 and 4, and 25% in year 5, gradually phasing the guarantee scheme out.</w:t>
      </w:r>
    </w:p>
    <w:p w14:paraId="6E7A5715" w14:textId="775E1F64" w:rsidR="00BB2DAB" w:rsidRDefault="00BB2DAB" w:rsidP="00BB2DAB">
      <w:pPr>
        <w:jc w:val="both"/>
        <w:rPr>
          <w:rFonts w:cs="Segoe UI"/>
        </w:rPr>
      </w:pPr>
      <w:r>
        <w:rPr>
          <w:rFonts w:cs="Segoe UI"/>
        </w:rPr>
        <w:t xml:space="preserve">Based on these assumptions, the period end maximum exposure increases from US $ 560,000 in year </w:t>
      </w:r>
      <w:r w:rsidR="006C71C4">
        <w:rPr>
          <w:rFonts w:cs="Segoe UI"/>
        </w:rPr>
        <w:t>1 to US $6</w:t>
      </w:r>
      <w:r>
        <w:rPr>
          <w:rFonts w:cs="Segoe UI"/>
        </w:rPr>
        <w:t xml:space="preserve"> million in year 5. This is only marginally lower than the maximum expo</w:t>
      </w:r>
      <w:r w:rsidR="006C71C4">
        <w:rPr>
          <w:rFonts w:cs="Segoe UI"/>
        </w:rPr>
        <w:t>sure which increases from US $770,000 in year 1 to US $7.7</w:t>
      </w:r>
      <w:r>
        <w:rPr>
          <w:rFonts w:cs="Segoe UI"/>
        </w:rPr>
        <w:t xml:space="preserve"> million in year 5. Based on insights gained from many consultations with international solar operators and MFIs, we assume a loan default rate of 25% applied half a year after recording the receivable. Based on the assumptions made, the expected actual los</w:t>
      </w:r>
      <w:r w:rsidR="006C71C4">
        <w:rPr>
          <w:rFonts w:cs="Segoe UI"/>
        </w:rPr>
        <w:t>s coverage increases from US $90</w:t>
      </w:r>
      <w:r>
        <w:rPr>
          <w:rFonts w:cs="Segoe UI"/>
        </w:rPr>
        <w:t>,000 in year 1 to US $</w:t>
      </w:r>
      <w:r w:rsidR="006C71C4">
        <w:rPr>
          <w:rFonts w:cs="Segoe UI"/>
        </w:rPr>
        <w:t xml:space="preserve">1.1 million </w:t>
      </w:r>
      <w:r>
        <w:rPr>
          <w:rFonts w:cs="Segoe UI"/>
        </w:rPr>
        <w:t>in year 5, with a cumulative intervention cost of US</w:t>
      </w:r>
      <w:r w:rsidR="006C71C4">
        <w:rPr>
          <w:rFonts w:cs="Segoe UI"/>
        </w:rPr>
        <w:t xml:space="preserve"> $2.7</w:t>
      </w:r>
      <w:r>
        <w:rPr>
          <w:rFonts w:cs="Segoe UI"/>
        </w:rPr>
        <w:t xml:space="preserve"> million. </w:t>
      </w:r>
    </w:p>
    <w:p w14:paraId="4D1F7094" w14:textId="77777777" w:rsidR="00BB2DAB" w:rsidRPr="00253CC7" w:rsidRDefault="00BB2DAB" w:rsidP="00955049">
      <w:pPr>
        <w:pStyle w:val="H4NEWreportStyle"/>
      </w:pPr>
      <w:r>
        <w:t>Grants to encourage market entry and scaling of operations</w:t>
      </w:r>
    </w:p>
    <w:p w14:paraId="4A2EBF9F" w14:textId="77777777" w:rsidR="00BB2DAB" w:rsidRDefault="00BB2DAB" w:rsidP="00BB2DAB">
      <w:pPr>
        <w:jc w:val="both"/>
        <w:rPr>
          <w:rFonts w:cs="Segoe UI"/>
        </w:rPr>
      </w:pPr>
      <w:r>
        <w:rPr>
          <w:rFonts w:cs="Segoe UI"/>
        </w:rPr>
        <w:t xml:space="preserve">Given the very early development stage of the Nigerien market for household systems, and the fact that all current solar distributors in Niger lack distribution infrastructure outside of the main cities, market entry will require significant time and capital investment, and therefore represents high risk to the pioneers. Consequently, we believe further incentives will be required to stimulate committed investment into building broader distribution infrastructure. </w:t>
      </w:r>
    </w:p>
    <w:p w14:paraId="7E7A1924" w14:textId="65739E96" w:rsidR="00BB2DAB" w:rsidRDefault="00BB2DAB" w:rsidP="00BB2DAB">
      <w:pPr>
        <w:jc w:val="both"/>
        <w:rPr>
          <w:rFonts w:cs="Segoe UI"/>
        </w:rPr>
      </w:pPr>
      <w:r>
        <w:rPr>
          <w:rFonts w:cs="Segoe UI"/>
        </w:rPr>
        <w:t xml:space="preserve">In addition, one key observation from the financial modelling is that the working capital facilities </w:t>
      </w:r>
      <w:r w:rsidRPr="005D58B1">
        <w:rPr>
          <w:rFonts w:cs="Segoe UI"/>
        </w:rPr>
        <w:t>discussed above do not provide sufficient liquidity for the early scaling phase; i.e. due to quick ramp up of the business, inventory and receivables increase rapidly, leaving</w:t>
      </w:r>
      <w:r w:rsidR="00CB4B39" w:rsidRPr="005D58B1">
        <w:rPr>
          <w:rFonts w:cs="Segoe UI"/>
        </w:rPr>
        <w:t xml:space="preserve"> a liquidity gap of over US $ 28</w:t>
      </w:r>
      <w:r w:rsidRPr="005D58B1">
        <w:rPr>
          <w:rFonts w:cs="Segoe UI"/>
        </w:rPr>
        <w:t>0,000 in year 2 of operations</w:t>
      </w:r>
      <w:r>
        <w:rPr>
          <w:rFonts w:cs="Segoe UI"/>
        </w:rPr>
        <w:t xml:space="preserve"> (see </w:t>
      </w:r>
      <w:r w:rsidR="00F41DA9">
        <w:fldChar w:fldCharType="begin"/>
      </w:r>
      <w:r w:rsidR="00F41DA9">
        <w:rPr>
          <w:rFonts w:cs="Segoe UI"/>
        </w:rPr>
        <w:instrText xml:space="preserve"> REF _Ref477425520 \h </w:instrText>
      </w:r>
      <w:r w:rsidR="00F41DA9">
        <w:fldChar w:fldCharType="separate"/>
      </w:r>
      <w:r w:rsidR="000D1C35">
        <w:t xml:space="preserve">Table </w:t>
      </w:r>
      <w:r w:rsidR="000D1C35">
        <w:rPr>
          <w:noProof/>
        </w:rPr>
        <w:t>35</w:t>
      </w:r>
      <w:r w:rsidR="00F41DA9">
        <w:fldChar w:fldCharType="end"/>
      </w:r>
      <w:r>
        <w:rPr>
          <w:rFonts w:cs="Segoe UI"/>
        </w:rPr>
        <w:t xml:space="preserve">). Reason for not having a liquidity gap in year 1 is simply due to the assumption that the owners insert US $300,000 in equity into the company at outset. </w:t>
      </w:r>
    </w:p>
    <w:p w14:paraId="62416D81" w14:textId="5F117602" w:rsidR="00F41DA9" w:rsidRDefault="00F41DA9" w:rsidP="00F41DA9">
      <w:pPr>
        <w:pStyle w:val="Caption"/>
        <w:jc w:val="both"/>
      </w:pPr>
      <w:bookmarkStart w:id="191" w:name="_Ref477425520"/>
      <w:bookmarkStart w:id="192" w:name="_Toc500969399"/>
      <w:r>
        <w:t xml:space="preserve">Table </w:t>
      </w:r>
      <w:fldSimple w:instr=" SEQ Table \* ARABIC ">
        <w:r w:rsidR="000D1C35">
          <w:rPr>
            <w:noProof/>
          </w:rPr>
          <w:t>35</w:t>
        </w:r>
      </w:fldSimple>
      <w:bookmarkEnd w:id="191"/>
      <w:r>
        <w:t>: Revised cashflows after provision of working capital facilities</w:t>
      </w:r>
      <w:bookmarkEnd w:id="192"/>
    </w:p>
    <w:p w14:paraId="422E6F53" w14:textId="0A250987" w:rsidR="00BB2DAB" w:rsidRDefault="00CB4B39" w:rsidP="00BB2DAB">
      <w:pPr>
        <w:jc w:val="both"/>
        <w:rPr>
          <w:rFonts w:cs="Segoe UI"/>
        </w:rPr>
      </w:pPr>
      <w:r w:rsidRPr="00CB4B39">
        <w:rPr>
          <w:noProof/>
        </w:rPr>
        <w:drawing>
          <wp:inline distT="0" distB="0" distL="0" distR="0" wp14:anchorId="1FB9A033" wp14:editId="6A3B9C3D">
            <wp:extent cx="5513832" cy="1188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3832" cy="1188720"/>
                    </a:xfrm>
                    <a:prstGeom prst="rect">
                      <a:avLst/>
                    </a:prstGeom>
                    <a:noFill/>
                    <a:ln>
                      <a:noFill/>
                    </a:ln>
                  </pic:spPr>
                </pic:pic>
              </a:graphicData>
            </a:graphic>
          </wp:inline>
        </w:drawing>
      </w:r>
    </w:p>
    <w:p w14:paraId="0A7195BA" w14:textId="5472EA89" w:rsidR="00BB2DAB" w:rsidRDefault="00BB2DAB" w:rsidP="00BB2DAB">
      <w:pPr>
        <w:jc w:val="both"/>
        <w:rPr>
          <w:rFonts w:cs="Segoe UI"/>
        </w:rPr>
      </w:pPr>
      <w:r>
        <w:rPr>
          <w:rFonts w:cs="Segoe UI"/>
        </w:rPr>
        <w:t xml:space="preserve">The presentation of the cashflows of the solar business in </w:t>
      </w:r>
      <w:r w:rsidR="007E0DEB">
        <w:fldChar w:fldCharType="begin"/>
      </w:r>
      <w:r w:rsidR="007E0DEB">
        <w:rPr>
          <w:rFonts w:cs="Segoe UI"/>
        </w:rPr>
        <w:instrText xml:space="preserve"> REF _Ref477425520 \h </w:instrText>
      </w:r>
      <w:r w:rsidR="007E0DEB">
        <w:fldChar w:fldCharType="separate"/>
      </w:r>
      <w:r w:rsidR="000D1C35">
        <w:t xml:space="preserve">Table </w:t>
      </w:r>
      <w:r w:rsidR="000D1C35">
        <w:rPr>
          <w:noProof/>
        </w:rPr>
        <w:t>35</w:t>
      </w:r>
      <w:r w:rsidR="007E0DEB">
        <w:fldChar w:fldCharType="end"/>
      </w:r>
      <w:r>
        <w:rPr>
          <w:rFonts w:cs="Segoe UI"/>
        </w:rPr>
        <w:t xml:space="preserve"> is based on the simplified assumption that all liquidity provided to the financial services sector is passed through to the solar business. </w:t>
      </w:r>
    </w:p>
    <w:p w14:paraId="4289BA7D" w14:textId="147F833F" w:rsidR="00BB2DAB" w:rsidRDefault="00BB2DAB" w:rsidP="00BB2DAB">
      <w:pPr>
        <w:jc w:val="both"/>
        <w:rPr>
          <w:rFonts w:cs="Segoe UI"/>
        </w:rPr>
      </w:pPr>
      <w:r>
        <w:rPr>
          <w:rFonts w:cs="Segoe UI"/>
        </w:rPr>
        <w:t>To p</w:t>
      </w:r>
      <w:r w:rsidR="00A314B5">
        <w:rPr>
          <w:rFonts w:cs="Segoe UI"/>
        </w:rPr>
        <w:t>rovide</w:t>
      </w:r>
      <w:r>
        <w:rPr>
          <w:rFonts w:cs="Segoe UI"/>
        </w:rPr>
        <w:t xml:space="preserve"> further incentives and cover the initial liquidity gap, we recommend providing additional grant funding in the initial stage of the market. International markets have frequently shown that a certain level of grant stimulation is beneficial to stimulate private sector interest, rapid market entry and growth. We </w:t>
      </w:r>
      <w:r>
        <w:rPr>
          <w:rFonts w:cs="Segoe UI"/>
        </w:rPr>
        <w:lastRenderedPageBreak/>
        <w:t xml:space="preserve">recommend selecting few, committed companies based on a tender process, selecting those with the most compelling and credible plan to scale operations in the solar lantern and solar home system market. Upfront grants to cover the initial network and working capital investment should then be made available at program outset, and should be based on the financial projections submitted and discussed throughout the tender process. </w:t>
      </w:r>
    </w:p>
    <w:p w14:paraId="38C436E9" w14:textId="2177F181" w:rsidR="00BB2DAB" w:rsidRDefault="00BB2DAB" w:rsidP="00BB2DAB">
      <w:pPr>
        <w:jc w:val="both"/>
        <w:rPr>
          <w:rFonts w:cs="Segoe UI"/>
        </w:rPr>
      </w:pPr>
      <w:r>
        <w:rPr>
          <w:rFonts w:cs="Segoe UI"/>
        </w:rPr>
        <w:t xml:space="preserve">After some initial set-up grant funding, we recommend making any additional grant funding conditional to meeting predefined growth targets in the form of results-based-financing (RBF). Ideally, RBF should be structured to incentivize growth of the MFI-solar business partnership, by providing both parties with aligned incentives. To achieve this, we recommend providing direct product subsidies linked to growth performance, i.e. the number of solar products sold with consumer financing through the MFI. </w:t>
      </w:r>
      <w:r w:rsidR="00A13110">
        <w:fldChar w:fldCharType="begin"/>
      </w:r>
      <w:r w:rsidR="00A13110">
        <w:rPr>
          <w:rFonts w:cs="Segoe UI"/>
        </w:rPr>
        <w:instrText xml:space="preserve"> REF _Ref477425576 \h </w:instrText>
      </w:r>
      <w:r w:rsidR="00A13110">
        <w:fldChar w:fldCharType="separate"/>
      </w:r>
      <w:r w:rsidR="000D1C35">
        <w:t xml:space="preserve">Table </w:t>
      </w:r>
      <w:r w:rsidR="000D1C35">
        <w:rPr>
          <w:noProof/>
        </w:rPr>
        <w:t>36</w:t>
      </w:r>
      <w:r w:rsidR="00A13110">
        <w:fldChar w:fldCharType="end"/>
      </w:r>
      <w:r>
        <w:rPr>
          <w:rFonts w:cs="Segoe UI"/>
        </w:rPr>
        <w:t xml:space="preserve"> provides an overview of the costs of such an intervention, based on unit volumes to achieve a reach of 10% of off-grid households; note that not all households want/require financing, and are therefore excluded from the volume of sales with consumer finance shown in the table. We have assumed that the direct product subsidies would cover 75% of the inventory cost in year 1, 50% in years 2 and 3, and then gradually phase out with 25% in year 4, and 10% in year 5. Based on these assumptions the funding requirement for this intervention wo</w:t>
      </w:r>
      <w:r w:rsidR="007E5588">
        <w:rPr>
          <w:rFonts w:cs="Segoe UI"/>
        </w:rPr>
        <w:t>uld increase from around US $460</w:t>
      </w:r>
      <w:r>
        <w:rPr>
          <w:rFonts w:cs="Segoe UI"/>
        </w:rPr>
        <w:t>,000 in year 1, to US $</w:t>
      </w:r>
      <w:r w:rsidR="007E5588">
        <w:rPr>
          <w:rFonts w:cs="Segoe UI"/>
        </w:rPr>
        <w:t xml:space="preserve">1.2 million </w:t>
      </w:r>
      <w:r>
        <w:rPr>
          <w:rFonts w:cs="Segoe UI"/>
        </w:rPr>
        <w:t>in year 3, US $</w:t>
      </w:r>
      <w:r w:rsidR="007E5588">
        <w:rPr>
          <w:rFonts w:cs="Segoe UI"/>
        </w:rPr>
        <w:t xml:space="preserve">1.1 million </w:t>
      </w:r>
      <w:r>
        <w:rPr>
          <w:rFonts w:cs="Segoe UI"/>
        </w:rPr>
        <w:t>in year 4, and then decrease again to US $</w:t>
      </w:r>
      <w:r w:rsidR="007E5588">
        <w:rPr>
          <w:rFonts w:cs="Segoe UI"/>
        </w:rPr>
        <w:t>690</w:t>
      </w:r>
      <w:r>
        <w:rPr>
          <w:rFonts w:cs="Segoe UI"/>
        </w:rPr>
        <w:t>,000 in year 5. Overall, this intervention would result</w:t>
      </w:r>
      <w:r w:rsidR="007E5588">
        <w:rPr>
          <w:rFonts w:cs="Segoe UI"/>
        </w:rPr>
        <w:t xml:space="preserve"> in a total cost of around US $4</w:t>
      </w:r>
      <w:r>
        <w:rPr>
          <w:rFonts w:cs="Segoe UI"/>
        </w:rPr>
        <w:t xml:space="preserve"> million over the 5-year horizon.</w:t>
      </w:r>
    </w:p>
    <w:p w14:paraId="2CFD184C" w14:textId="2D5AC598" w:rsidR="0065312A" w:rsidRDefault="0065312A" w:rsidP="0065312A">
      <w:pPr>
        <w:pStyle w:val="Caption"/>
        <w:jc w:val="both"/>
      </w:pPr>
      <w:bookmarkStart w:id="193" w:name="_Ref477425576"/>
      <w:bookmarkStart w:id="194" w:name="_Toc500969400"/>
      <w:r>
        <w:t xml:space="preserve">Table </w:t>
      </w:r>
      <w:fldSimple w:instr=" SEQ Table \* ARABIC ">
        <w:r w:rsidR="000D1C35">
          <w:rPr>
            <w:noProof/>
          </w:rPr>
          <w:t>36</w:t>
        </w:r>
      </w:fldSimple>
      <w:bookmarkEnd w:id="193"/>
      <w:r>
        <w:t>: Facility capitalization requirements for RBF direct product subsidies</w:t>
      </w:r>
      <w:bookmarkEnd w:id="194"/>
    </w:p>
    <w:p w14:paraId="490E1146" w14:textId="34E34344" w:rsidR="00BB2DAB" w:rsidRDefault="007E5588" w:rsidP="00BB2DAB">
      <w:pPr>
        <w:jc w:val="both"/>
        <w:rPr>
          <w:rFonts w:cs="Segoe UI"/>
        </w:rPr>
      </w:pPr>
      <w:r w:rsidRPr="007E5588">
        <w:rPr>
          <w:noProof/>
        </w:rPr>
        <w:drawing>
          <wp:inline distT="0" distB="0" distL="0" distR="0" wp14:anchorId="152398C9" wp14:editId="6EA55D55">
            <wp:extent cx="5504688" cy="11430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4688" cy="1143000"/>
                    </a:xfrm>
                    <a:prstGeom prst="rect">
                      <a:avLst/>
                    </a:prstGeom>
                    <a:noFill/>
                    <a:ln>
                      <a:noFill/>
                    </a:ln>
                  </pic:spPr>
                </pic:pic>
              </a:graphicData>
            </a:graphic>
          </wp:inline>
        </w:drawing>
      </w:r>
    </w:p>
    <w:p w14:paraId="3BB97A3B" w14:textId="77777777" w:rsidR="00BB2DAB" w:rsidRDefault="00BB2DAB" w:rsidP="00BB2DAB">
      <w:pPr>
        <w:jc w:val="both"/>
        <w:rPr>
          <w:rFonts w:cs="Segoe UI"/>
        </w:rPr>
      </w:pPr>
      <w:r>
        <w:rPr>
          <w:rFonts w:cs="Segoe UI"/>
        </w:rPr>
        <w:t xml:space="preserve">We believe that, ideally these direct product subsidies would be shared, with partial imbursements to MFI and solar businesses. Alternatively, RBF based product subsidies could also be purely targeted towards the solar business with additional incentives targeting MFIs. </w:t>
      </w:r>
    </w:p>
    <w:p w14:paraId="5592EE11" w14:textId="77777777" w:rsidR="00BB2DAB" w:rsidRDefault="00BB2DAB" w:rsidP="00BB2DAB">
      <w:pPr>
        <w:jc w:val="both"/>
        <w:rPr>
          <w:rFonts w:cs="Segoe UI"/>
        </w:rPr>
      </w:pPr>
      <w:r>
        <w:rPr>
          <w:rFonts w:cs="Segoe UI"/>
        </w:rPr>
        <w:t xml:space="preserve">A further direct subsidy that would benefit consumers, MFIs, and solar companies alike, would be applied to interest rates for consumer lending. Capped interest rates reduce the ‘financed market price’ of solar products to the end consumers, while MFIs receive the difference between subsidized rate and market rate through grant funding. The solar business also benefits, as improved financing terms have the potential to stimulate product purchases. </w:t>
      </w:r>
    </w:p>
    <w:p w14:paraId="00C3EAB4" w14:textId="742EB845" w:rsidR="00BB2DAB" w:rsidRDefault="0086258C" w:rsidP="00BB2DAB">
      <w:pPr>
        <w:jc w:val="both"/>
        <w:rPr>
          <w:rFonts w:cs="Segoe UI"/>
        </w:rPr>
      </w:pPr>
      <w:r>
        <w:fldChar w:fldCharType="begin"/>
      </w:r>
      <w:r>
        <w:rPr>
          <w:rFonts w:cs="Segoe UI"/>
        </w:rPr>
        <w:instrText xml:space="preserve"> REF _Ref477425622 \h </w:instrText>
      </w:r>
      <w:r>
        <w:fldChar w:fldCharType="separate"/>
      </w:r>
      <w:r w:rsidR="000D1C35">
        <w:t xml:space="preserve">Table </w:t>
      </w:r>
      <w:r w:rsidR="000D1C35">
        <w:rPr>
          <w:noProof/>
        </w:rPr>
        <w:t>37</w:t>
      </w:r>
      <w:r>
        <w:fldChar w:fldCharType="end"/>
      </w:r>
      <w:r w:rsidR="00BB2DAB">
        <w:rPr>
          <w:rFonts w:cs="Segoe UI"/>
        </w:rPr>
        <w:t xml:space="preserve"> gives an overview of the funding requirements to cap the interest rate at 12% p.a. (versus an assumed market rate of 20% p.a.), again with sales volumes to reach 20% of off-grid households over the 5-year period.</w:t>
      </w:r>
    </w:p>
    <w:p w14:paraId="6D5D5BA4" w14:textId="03EE2C2F" w:rsidR="0086258C" w:rsidRDefault="0086258C" w:rsidP="0086258C">
      <w:pPr>
        <w:pStyle w:val="Caption"/>
        <w:jc w:val="both"/>
      </w:pPr>
      <w:bookmarkStart w:id="195" w:name="_Ref477425622"/>
      <w:bookmarkStart w:id="196" w:name="_Toc500969401"/>
      <w:r>
        <w:lastRenderedPageBreak/>
        <w:t xml:space="preserve">Table </w:t>
      </w:r>
      <w:fldSimple w:instr=" SEQ Table \* ARABIC ">
        <w:r w:rsidR="000D1C35">
          <w:rPr>
            <w:noProof/>
          </w:rPr>
          <w:t>37</w:t>
        </w:r>
      </w:fldSimple>
      <w:bookmarkEnd w:id="195"/>
      <w:r>
        <w:t>: Facility capitalization requirements for subsidized interest rates</w:t>
      </w:r>
      <w:bookmarkEnd w:id="196"/>
    </w:p>
    <w:p w14:paraId="31F05296" w14:textId="0B9C3809" w:rsidR="00BB2DAB" w:rsidRDefault="00B84AC4" w:rsidP="00BB2DAB">
      <w:pPr>
        <w:jc w:val="both"/>
        <w:rPr>
          <w:rFonts w:cs="Segoe UI"/>
        </w:rPr>
      </w:pPr>
      <w:r w:rsidRPr="00B84AC4">
        <w:rPr>
          <w:noProof/>
        </w:rPr>
        <w:drawing>
          <wp:inline distT="0" distB="0" distL="0" distR="0" wp14:anchorId="1ACB79B1" wp14:editId="39D0E81B">
            <wp:extent cx="5486400" cy="10058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005840"/>
                    </a:xfrm>
                    <a:prstGeom prst="rect">
                      <a:avLst/>
                    </a:prstGeom>
                    <a:noFill/>
                    <a:ln>
                      <a:noFill/>
                    </a:ln>
                  </pic:spPr>
                </pic:pic>
              </a:graphicData>
            </a:graphic>
          </wp:inline>
        </w:drawing>
      </w:r>
    </w:p>
    <w:p w14:paraId="0522FA3F" w14:textId="1BD60B3F" w:rsidR="00BB2DAB" w:rsidRPr="00157CFC" w:rsidRDefault="00BB2DAB" w:rsidP="00BB2DAB">
      <w:pPr>
        <w:jc w:val="both"/>
        <w:rPr>
          <w:rFonts w:cs="Segoe UI"/>
        </w:rPr>
      </w:pPr>
      <w:r w:rsidRPr="00157CFC">
        <w:rPr>
          <w:rFonts w:cs="Segoe UI"/>
        </w:rPr>
        <w:t>The total cost of such an intervention i</w:t>
      </w:r>
      <w:r w:rsidR="00981177" w:rsidRPr="00157CFC">
        <w:rPr>
          <w:rFonts w:cs="Segoe UI"/>
        </w:rPr>
        <w:t>s estimated to be around US $1.7</w:t>
      </w:r>
      <w:r w:rsidRPr="00157CFC">
        <w:rPr>
          <w:rFonts w:cs="Segoe UI"/>
        </w:rPr>
        <w:t xml:space="preserve"> million over the projected 5-year period.</w:t>
      </w:r>
    </w:p>
    <w:p w14:paraId="2F5F24C1" w14:textId="499E13B3" w:rsidR="006D6376" w:rsidRDefault="00E72391" w:rsidP="008E5E98">
      <w:pPr>
        <w:jc w:val="both"/>
        <w:rPr>
          <w:rFonts w:cs="Times New Roman"/>
        </w:rPr>
      </w:pPr>
      <w:r w:rsidRPr="00157CFC">
        <w:rPr>
          <w:rFonts w:cs="Times New Roman"/>
        </w:rPr>
        <w:t>After exploring various o</w:t>
      </w:r>
      <w:r w:rsidR="00C35DB5" w:rsidRPr="00157CFC">
        <w:rPr>
          <w:rFonts w:cs="Times New Roman"/>
        </w:rPr>
        <w:t>ptions of structuring the grant</w:t>
      </w:r>
      <w:r w:rsidRPr="00157CFC">
        <w:rPr>
          <w:rFonts w:cs="Times New Roman"/>
        </w:rPr>
        <w:t xml:space="preserve">, we recommend </w:t>
      </w:r>
      <w:r w:rsidR="008E5E98" w:rsidRPr="00157CFC">
        <w:rPr>
          <w:rFonts w:cs="Times New Roman"/>
        </w:rPr>
        <w:t>a combination</w:t>
      </w:r>
      <w:r w:rsidR="00F235AF" w:rsidRPr="00157CFC">
        <w:rPr>
          <w:rFonts w:cs="Times New Roman"/>
        </w:rPr>
        <w:t xml:space="preserve"> of the following three</w:t>
      </w:r>
      <w:r w:rsidR="008E5E98" w:rsidRPr="00157CFC">
        <w:rPr>
          <w:rFonts w:cs="Times New Roman"/>
        </w:rPr>
        <w:t xml:space="preserve"> components to incentivize </w:t>
      </w:r>
      <w:r w:rsidR="00F235AF" w:rsidRPr="00157CFC">
        <w:rPr>
          <w:rFonts w:cs="Times New Roman"/>
        </w:rPr>
        <w:t xml:space="preserve">the combined effort of </w:t>
      </w:r>
      <w:r w:rsidR="00763719" w:rsidRPr="00157CFC">
        <w:rPr>
          <w:rFonts w:cs="Times New Roman"/>
        </w:rPr>
        <w:t>solar companies</w:t>
      </w:r>
      <w:r w:rsidR="00C607B8" w:rsidRPr="00157CFC">
        <w:rPr>
          <w:rFonts w:cs="Times New Roman"/>
        </w:rPr>
        <w:t xml:space="preserve"> and</w:t>
      </w:r>
      <w:r w:rsidR="00763719" w:rsidRPr="00157CFC">
        <w:rPr>
          <w:rFonts w:cs="Times New Roman"/>
        </w:rPr>
        <w:t xml:space="preserve"> financial service providers</w:t>
      </w:r>
      <w:r w:rsidR="00F235AF" w:rsidRPr="00157CFC">
        <w:rPr>
          <w:rFonts w:cs="Times New Roman"/>
        </w:rPr>
        <w:t xml:space="preserve"> towards rapid scaling of the market: </w:t>
      </w:r>
    </w:p>
    <w:p w14:paraId="506693F1" w14:textId="77777777" w:rsidR="00583EF3" w:rsidRPr="00157CFC" w:rsidRDefault="00583EF3" w:rsidP="008E5E98">
      <w:pPr>
        <w:jc w:val="both"/>
        <w:rPr>
          <w:rFonts w:cs="Times New Roman"/>
        </w:rPr>
      </w:pPr>
    </w:p>
    <w:p w14:paraId="34E19261" w14:textId="51AFA760" w:rsidR="006D6376" w:rsidRDefault="006D6376" w:rsidP="006D6376">
      <w:pPr>
        <w:pStyle w:val="Caption"/>
      </w:pPr>
      <w:bookmarkStart w:id="197" w:name="_Toc500969402"/>
      <w:r w:rsidRPr="00157CFC">
        <w:t xml:space="preserve">Table </w:t>
      </w:r>
      <w:fldSimple w:instr=" SEQ Table \* ARABIC ">
        <w:r w:rsidR="000D1C35">
          <w:rPr>
            <w:noProof/>
          </w:rPr>
          <w:t>38</w:t>
        </w:r>
      </w:fldSimple>
      <w:r w:rsidR="00CA08E8" w:rsidRPr="00157CFC">
        <w:t xml:space="preserve">: Recommended grant structure </w:t>
      </w:r>
      <w:r w:rsidRPr="00157CFC">
        <w:t>to incentivize market entry and expansion</w:t>
      </w:r>
      <w:bookmarkEnd w:id="197"/>
    </w:p>
    <w:tbl>
      <w:tblPr>
        <w:tblStyle w:val="GridTable6Colorful"/>
        <w:tblW w:w="0" w:type="auto"/>
        <w:tblCellMar>
          <w:top w:w="58" w:type="dxa"/>
          <w:left w:w="144" w:type="dxa"/>
          <w:bottom w:w="58" w:type="dxa"/>
          <w:right w:w="144" w:type="dxa"/>
        </w:tblCellMar>
        <w:tblLook w:val="04A0" w:firstRow="1" w:lastRow="0" w:firstColumn="1" w:lastColumn="0" w:noHBand="0" w:noVBand="1"/>
      </w:tblPr>
      <w:tblGrid>
        <w:gridCol w:w="1435"/>
        <w:gridCol w:w="2340"/>
        <w:gridCol w:w="5575"/>
      </w:tblGrid>
      <w:tr w:rsidR="00067D79" w:rsidRPr="00EC0016" w14:paraId="72FBFE97" w14:textId="77777777" w:rsidTr="009C1C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tcPr>
          <w:p w14:paraId="68347D4E" w14:textId="1604D7F2" w:rsidR="00067D79" w:rsidRPr="00EC0016" w:rsidRDefault="00067D79" w:rsidP="009C1C14">
            <w:pPr>
              <w:rPr>
                <w:sz w:val="18"/>
                <w:szCs w:val="18"/>
              </w:rPr>
            </w:pPr>
            <w:r>
              <w:rPr>
                <w:sz w:val="18"/>
                <w:szCs w:val="18"/>
              </w:rPr>
              <w:t>Grant recipient</w:t>
            </w:r>
          </w:p>
        </w:tc>
        <w:tc>
          <w:tcPr>
            <w:tcW w:w="2340" w:type="dxa"/>
          </w:tcPr>
          <w:p w14:paraId="40B80CF3" w14:textId="524D2493" w:rsidR="00067D79" w:rsidRPr="00EC0016" w:rsidRDefault="00067D79" w:rsidP="009C1C1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Type of grant</w:t>
            </w:r>
          </w:p>
        </w:tc>
        <w:tc>
          <w:tcPr>
            <w:tcW w:w="5575" w:type="dxa"/>
          </w:tcPr>
          <w:p w14:paraId="6FD5AA87" w14:textId="77777777" w:rsidR="00067D79" w:rsidRPr="00EC0016" w:rsidRDefault="00067D79" w:rsidP="009C1C1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Rationale (in short)</w:t>
            </w:r>
          </w:p>
        </w:tc>
      </w:tr>
      <w:tr w:rsidR="00067D79" w:rsidRPr="00EC0016" w14:paraId="4CDD4FFE" w14:textId="77777777" w:rsidTr="009C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862E94E" w14:textId="66CC4D9F" w:rsidR="00067D79" w:rsidRPr="00542C2C" w:rsidRDefault="006D6376" w:rsidP="009C1C14">
            <w:pPr>
              <w:spacing w:after="60"/>
              <w:rPr>
                <w:sz w:val="18"/>
                <w:szCs w:val="18"/>
              </w:rPr>
            </w:pPr>
            <w:r>
              <w:rPr>
                <w:sz w:val="18"/>
                <w:szCs w:val="18"/>
              </w:rPr>
              <w:t>Solar companies</w:t>
            </w:r>
          </w:p>
        </w:tc>
        <w:tc>
          <w:tcPr>
            <w:tcW w:w="2340" w:type="dxa"/>
          </w:tcPr>
          <w:p w14:paraId="159D3852" w14:textId="111B8EFF" w:rsidR="00067D79" w:rsidRPr="00542C2C" w:rsidRDefault="00E9090E"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Direct setup grant</w:t>
            </w:r>
          </w:p>
        </w:tc>
        <w:tc>
          <w:tcPr>
            <w:tcW w:w="5575" w:type="dxa"/>
          </w:tcPr>
          <w:p w14:paraId="502C9C9C" w14:textId="15966C4F" w:rsidR="00E9090E" w:rsidRPr="00E9090E" w:rsidRDefault="00E9090E"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E9090E">
              <w:rPr>
                <w:sz w:val="18"/>
                <w:szCs w:val="18"/>
              </w:rPr>
              <w:t xml:space="preserve">Paid in advance of expansion to </w:t>
            </w:r>
            <w:r w:rsidR="00665D5C" w:rsidRPr="00E9090E">
              <w:rPr>
                <w:sz w:val="18"/>
                <w:szCs w:val="18"/>
              </w:rPr>
              <w:t xml:space="preserve">fund necessary infrastructure </w:t>
            </w:r>
          </w:p>
          <w:p w14:paraId="665A07C3" w14:textId="6B67DDB7" w:rsidR="00E9090E" w:rsidRDefault="00E9090E" w:rsidP="00E9090E">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E9090E">
              <w:rPr>
                <w:sz w:val="18"/>
                <w:szCs w:val="18"/>
              </w:rPr>
              <w:t>Businesses consulted prefer this option as it allows them to make initial investments in sales &amp; distribution channels,</w:t>
            </w:r>
            <w:r w:rsidR="00665D5C">
              <w:rPr>
                <w:sz w:val="18"/>
                <w:szCs w:val="18"/>
              </w:rPr>
              <w:t xml:space="preserve"> and </w:t>
            </w:r>
            <w:r w:rsidRPr="00E9090E">
              <w:rPr>
                <w:sz w:val="18"/>
                <w:szCs w:val="18"/>
              </w:rPr>
              <w:t>allocat</w:t>
            </w:r>
            <w:r w:rsidR="00665D5C">
              <w:rPr>
                <w:sz w:val="18"/>
                <w:szCs w:val="18"/>
              </w:rPr>
              <w:t>e</w:t>
            </w:r>
            <w:r w:rsidRPr="00E9090E">
              <w:rPr>
                <w:sz w:val="18"/>
                <w:szCs w:val="18"/>
              </w:rPr>
              <w:t xml:space="preserve"> inventory for new sales regions</w:t>
            </w:r>
          </w:p>
          <w:p w14:paraId="6069909A" w14:textId="54D51D13" w:rsidR="00067D79" w:rsidRPr="00E9090E" w:rsidRDefault="00E9090E" w:rsidP="00E9090E">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E9090E">
              <w:rPr>
                <w:sz w:val="18"/>
                <w:szCs w:val="18"/>
              </w:rPr>
              <w:t>Either in the form of a lump-sum or in inst</w:t>
            </w:r>
            <w:r>
              <w:rPr>
                <w:sz w:val="18"/>
                <w:szCs w:val="18"/>
              </w:rPr>
              <w:t>allments</w:t>
            </w:r>
          </w:p>
        </w:tc>
      </w:tr>
      <w:tr w:rsidR="00067D79" w:rsidRPr="00EC0016" w14:paraId="43886A35" w14:textId="77777777" w:rsidTr="009C1C14">
        <w:tc>
          <w:tcPr>
            <w:cnfStyle w:val="001000000000" w:firstRow="0" w:lastRow="0" w:firstColumn="1" w:lastColumn="0" w:oddVBand="0" w:evenVBand="0" w:oddHBand="0" w:evenHBand="0" w:firstRowFirstColumn="0" w:firstRowLastColumn="0" w:lastRowFirstColumn="0" w:lastRowLastColumn="0"/>
            <w:tcW w:w="1435" w:type="dxa"/>
          </w:tcPr>
          <w:p w14:paraId="61529A43" w14:textId="591DAD8D" w:rsidR="00067D79" w:rsidRPr="00B42631" w:rsidRDefault="006D6376" w:rsidP="009C1C14">
            <w:pPr>
              <w:spacing w:after="60"/>
              <w:rPr>
                <w:sz w:val="18"/>
                <w:szCs w:val="18"/>
              </w:rPr>
            </w:pPr>
            <w:r>
              <w:rPr>
                <w:sz w:val="18"/>
                <w:szCs w:val="18"/>
              </w:rPr>
              <w:t>Solar companies</w:t>
            </w:r>
          </w:p>
        </w:tc>
        <w:tc>
          <w:tcPr>
            <w:tcW w:w="2340" w:type="dxa"/>
          </w:tcPr>
          <w:p w14:paraId="38F4F81F" w14:textId="5D814698" w:rsidR="00067D79" w:rsidRPr="00CD715F" w:rsidRDefault="00AA6866"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Results based financing awarded based on meeting sales targets</w:t>
            </w:r>
          </w:p>
        </w:tc>
        <w:tc>
          <w:tcPr>
            <w:tcW w:w="5575" w:type="dxa"/>
          </w:tcPr>
          <w:p w14:paraId="1B7B3519" w14:textId="6EB6583A" w:rsidR="00545BF0" w:rsidRDefault="00545BF0"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00AA6866" w:rsidRPr="00AA6866">
              <w:rPr>
                <w:sz w:val="18"/>
                <w:szCs w:val="18"/>
              </w:rPr>
              <w:t>aid after expansion to different areas of Niger that are outside the immediate grid expansion plans, linking concessionary funding explicitly to sales already ac</w:t>
            </w:r>
            <w:r>
              <w:rPr>
                <w:sz w:val="18"/>
                <w:szCs w:val="18"/>
              </w:rPr>
              <w:t>hieved and demonstrated</w:t>
            </w:r>
          </w:p>
          <w:p w14:paraId="2DA93C7F" w14:textId="601D5971" w:rsidR="00545BF0" w:rsidRDefault="00545BF0"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Operators are required to periodically report</w:t>
            </w:r>
            <w:r w:rsidR="00AA6866" w:rsidRPr="00AA6866">
              <w:rPr>
                <w:sz w:val="18"/>
                <w:szCs w:val="18"/>
              </w:rPr>
              <w:t xml:space="preserve"> sales that have met a pre-agreed target (such as serving </w:t>
            </w:r>
            <w:r w:rsidRPr="00AA6866">
              <w:rPr>
                <w:sz w:val="18"/>
                <w:szCs w:val="18"/>
              </w:rPr>
              <w:t>rural</w:t>
            </w:r>
            <w:r w:rsidR="00AA6866" w:rsidRPr="00AA6866">
              <w:rPr>
                <w:sz w:val="18"/>
                <w:szCs w:val="18"/>
              </w:rPr>
              <w:t xml:space="preserve"> areas)</w:t>
            </w:r>
          </w:p>
          <w:p w14:paraId="60CD2844" w14:textId="57E19B72" w:rsidR="00545BF0" w:rsidRDefault="00545BF0"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Sales can be </w:t>
            </w:r>
            <w:r w:rsidR="00AA6866" w:rsidRPr="00AA6866">
              <w:rPr>
                <w:sz w:val="18"/>
                <w:szCs w:val="18"/>
              </w:rPr>
              <w:t>verified by an administrating body either by contacting a sample of consumers or directly through GIS tracking tech</w:t>
            </w:r>
            <w:r>
              <w:rPr>
                <w:sz w:val="18"/>
                <w:szCs w:val="18"/>
              </w:rPr>
              <w:t>nology embedded in solar units</w:t>
            </w:r>
          </w:p>
          <w:p w14:paraId="209F9D13" w14:textId="615C365D" w:rsidR="00545BF0" w:rsidRDefault="00AA6866"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AA6866">
              <w:rPr>
                <w:sz w:val="18"/>
                <w:szCs w:val="18"/>
              </w:rPr>
              <w:t xml:space="preserve">By focusing only </w:t>
            </w:r>
            <w:r w:rsidR="00545BF0">
              <w:rPr>
                <w:sz w:val="18"/>
                <w:szCs w:val="18"/>
              </w:rPr>
              <w:t xml:space="preserve">on </w:t>
            </w:r>
            <w:r w:rsidRPr="00AA6866">
              <w:rPr>
                <w:sz w:val="18"/>
                <w:szCs w:val="18"/>
              </w:rPr>
              <w:t>end sales, RBF incentivizes businesses to achieve solar sales in the most cost-effective manner without imposing additional reporting requireme</w:t>
            </w:r>
            <w:r w:rsidR="00FA7B37">
              <w:rPr>
                <w:sz w:val="18"/>
                <w:szCs w:val="18"/>
              </w:rPr>
              <w:t>nts</w:t>
            </w:r>
          </w:p>
          <w:p w14:paraId="027106F7" w14:textId="630294A5" w:rsidR="00067D79" w:rsidRDefault="00AA6866" w:rsidP="009C1C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AA6866">
              <w:rPr>
                <w:sz w:val="18"/>
                <w:szCs w:val="18"/>
              </w:rPr>
              <w:t>However,</w:t>
            </w:r>
            <w:r w:rsidR="00545BF0">
              <w:rPr>
                <w:sz w:val="18"/>
                <w:szCs w:val="18"/>
              </w:rPr>
              <w:t xml:space="preserve"> businesses </w:t>
            </w:r>
            <w:r w:rsidRPr="00AA6866">
              <w:rPr>
                <w:sz w:val="18"/>
                <w:szCs w:val="18"/>
              </w:rPr>
              <w:t xml:space="preserve">need to invest in sales and distribution infrastructure using their own capital before RBF </w:t>
            </w:r>
            <w:r w:rsidR="00FA7B37">
              <w:rPr>
                <w:sz w:val="18"/>
                <w:szCs w:val="18"/>
              </w:rPr>
              <w:t>is awarded</w:t>
            </w:r>
          </w:p>
          <w:p w14:paraId="627A6D6D" w14:textId="77777777" w:rsidR="008D2414" w:rsidRDefault="008D2414" w:rsidP="008D2414">
            <w:pPr>
              <w:pStyle w:val="ListParagraph"/>
              <w:numPr>
                <w:ilvl w:val="0"/>
                <w:numId w:val="13"/>
              </w:numPr>
              <w:spacing w:after="60"/>
              <w:ind w:left="187" w:hanging="187"/>
              <w:contextualSpacing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Payment is a % of COGS of the relevant sales</w:t>
            </w:r>
          </w:p>
          <w:p w14:paraId="09C0C669" w14:textId="3C068DCB" w:rsidR="00687080" w:rsidRPr="00406120" w:rsidRDefault="00687080" w:rsidP="00687080">
            <w:pPr>
              <w:pStyle w:val="ListParagraph"/>
              <w:spacing w:after="60"/>
              <w:ind w:left="187"/>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067D79" w:rsidRPr="00EC0016" w14:paraId="7013D16B" w14:textId="77777777" w:rsidTr="009C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35F58B4" w14:textId="7D5B5D45" w:rsidR="00067D79" w:rsidRPr="00B42631" w:rsidRDefault="00BA008F" w:rsidP="009C1C14">
            <w:pPr>
              <w:spacing w:after="60"/>
              <w:rPr>
                <w:sz w:val="18"/>
                <w:szCs w:val="18"/>
              </w:rPr>
            </w:pPr>
            <w:r>
              <w:rPr>
                <w:sz w:val="18"/>
                <w:szCs w:val="18"/>
              </w:rPr>
              <w:t>Financial service providers</w:t>
            </w:r>
          </w:p>
        </w:tc>
        <w:tc>
          <w:tcPr>
            <w:tcW w:w="2340" w:type="dxa"/>
          </w:tcPr>
          <w:p w14:paraId="5BDAEF58" w14:textId="65B7D470" w:rsidR="00067D79" w:rsidRPr="00202BBD" w:rsidRDefault="00BA008F"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Results based financing awarded based on meeting </w:t>
            </w:r>
            <w:r w:rsidR="008D2414">
              <w:rPr>
                <w:sz w:val="18"/>
                <w:szCs w:val="18"/>
              </w:rPr>
              <w:t>lending</w:t>
            </w:r>
            <w:r w:rsidR="00F235AF">
              <w:rPr>
                <w:sz w:val="18"/>
                <w:szCs w:val="18"/>
              </w:rPr>
              <w:t xml:space="preserve"> and portfolio health targets</w:t>
            </w:r>
          </w:p>
        </w:tc>
        <w:tc>
          <w:tcPr>
            <w:tcW w:w="5575" w:type="dxa"/>
          </w:tcPr>
          <w:p w14:paraId="5A07D3B2" w14:textId="1A7BA46F" w:rsidR="008D2414" w:rsidRDefault="008D2414"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Paid after achieving pre-defined lending growth targets; ideally linked to the RBF program offered to solar companies to ensure incentive alignment across the </w:t>
            </w:r>
            <w:r w:rsidR="00D25AE9">
              <w:rPr>
                <w:sz w:val="18"/>
                <w:szCs w:val="18"/>
              </w:rPr>
              <w:t>partnership</w:t>
            </w:r>
          </w:p>
          <w:p w14:paraId="145FE35C" w14:textId="7E7C38F1" w:rsidR="00205919" w:rsidRDefault="00205919"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Pre-defined portfolio health targets required to avoid depreciation of credit assessment standards</w:t>
            </w:r>
            <w:r w:rsidR="00E72021">
              <w:rPr>
                <w:sz w:val="18"/>
                <w:szCs w:val="18"/>
              </w:rPr>
              <w:t xml:space="preserve"> (especially required if a loan guarantee facility is available to cover first losses)</w:t>
            </w:r>
          </w:p>
          <w:p w14:paraId="041ED116" w14:textId="4AABD9D5" w:rsidR="00D25AE9" w:rsidRDefault="00205919"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Periodic reporting of lending statistics</w:t>
            </w:r>
            <w:r w:rsidR="00D25AE9">
              <w:rPr>
                <w:sz w:val="18"/>
                <w:szCs w:val="18"/>
              </w:rPr>
              <w:t xml:space="preserve"> and evidence of lending</w:t>
            </w:r>
          </w:p>
          <w:p w14:paraId="72601036" w14:textId="04380188" w:rsidR="00D25AE9" w:rsidRDefault="00D25AE9" w:rsidP="009C1C14">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Incentivizes FSP to grow their lending portfolio and, depending on targets agreed, expand financial inclusion to previously unbanked areas</w:t>
            </w:r>
          </w:p>
          <w:p w14:paraId="2D715698" w14:textId="2CC6B9E3" w:rsidR="00067D79" w:rsidRPr="00D25AE9" w:rsidRDefault="00D25AE9" w:rsidP="00D25AE9">
            <w:pPr>
              <w:pStyle w:val="ListParagraph"/>
              <w:numPr>
                <w:ilvl w:val="0"/>
                <w:numId w:val="13"/>
              </w:numPr>
              <w:spacing w:after="60"/>
              <w:ind w:left="187" w:hanging="187"/>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Payment is either a fixed lumpsum per loan a % of a pre-defined average loan administration cost </w:t>
            </w:r>
          </w:p>
        </w:tc>
      </w:tr>
    </w:tbl>
    <w:p w14:paraId="48F33FBE" w14:textId="56410517" w:rsidR="00067D79" w:rsidRDefault="00067D79" w:rsidP="008E5E98">
      <w:pPr>
        <w:jc w:val="both"/>
        <w:rPr>
          <w:rFonts w:cs="Times New Roman"/>
        </w:rPr>
      </w:pPr>
    </w:p>
    <w:p w14:paraId="6FD437C1" w14:textId="639FDFA0" w:rsidR="00D746AA" w:rsidRDefault="007C607E" w:rsidP="005C4B2E">
      <w:pPr>
        <w:jc w:val="both"/>
      </w:pPr>
      <w:r w:rsidRPr="00157CFC">
        <w:rPr>
          <w:rFonts w:cs="Times New Roman"/>
        </w:rPr>
        <w:fldChar w:fldCharType="begin"/>
      </w:r>
      <w:r w:rsidRPr="00157CFC">
        <w:rPr>
          <w:rFonts w:cs="Times New Roman"/>
        </w:rPr>
        <w:instrText xml:space="preserve"> REF _Ref485815785 \h </w:instrText>
      </w:r>
      <w:r w:rsidR="00731DCE" w:rsidRPr="00157CFC">
        <w:rPr>
          <w:rFonts w:cs="Times New Roman"/>
        </w:rPr>
        <w:instrText xml:space="preserve"> \* MERGEFORMAT </w:instrText>
      </w:r>
      <w:r w:rsidRPr="00157CFC">
        <w:rPr>
          <w:rFonts w:cs="Times New Roman"/>
        </w:rPr>
      </w:r>
      <w:r w:rsidRPr="00157CFC">
        <w:rPr>
          <w:rFonts w:cs="Times New Roman"/>
        </w:rPr>
        <w:fldChar w:fldCharType="separate"/>
      </w:r>
      <w:r w:rsidR="000D1C35" w:rsidRPr="00EE70AE">
        <w:t xml:space="preserve">Figure </w:t>
      </w:r>
      <w:r w:rsidR="000D1C35">
        <w:rPr>
          <w:noProof/>
        </w:rPr>
        <w:t>23</w:t>
      </w:r>
      <w:r w:rsidRPr="00157CFC">
        <w:rPr>
          <w:rFonts w:cs="Times New Roman"/>
        </w:rPr>
        <w:fldChar w:fldCharType="end"/>
      </w:r>
      <w:r w:rsidRPr="00157CFC">
        <w:rPr>
          <w:rFonts w:cs="Times New Roman"/>
        </w:rPr>
        <w:t xml:space="preserve"> provides a brief, simplified overview of the roadmap to implementation of a grant funding program; </w:t>
      </w:r>
      <w:r w:rsidR="005C4B2E" w:rsidRPr="00157CFC">
        <w:rPr>
          <w:rFonts w:cs="Times New Roman"/>
        </w:rPr>
        <w:t xml:space="preserve">example </w:t>
      </w:r>
      <w:r w:rsidR="00D746AA" w:rsidRPr="00157CFC">
        <w:t>Terms of Reference for the market entry and expansion grants</w:t>
      </w:r>
      <w:r w:rsidR="005C4B2E" w:rsidRPr="00157CFC">
        <w:t xml:space="preserve"> program </w:t>
      </w:r>
      <w:r w:rsidR="00CA08E8" w:rsidRPr="00157CFC">
        <w:t>are</w:t>
      </w:r>
      <w:r w:rsidR="005C4B2E" w:rsidRPr="00157CFC">
        <w:t xml:space="preserve"> included in the appendices</w:t>
      </w:r>
      <w:r w:rsidR="00D746AA" w:rsidRPr="00157CFC">
        <w:t>.</w:t>
      </w:r>
    </w:p>
    <w:p w14:paraId="6CBB2453" w14:textId="1CD4E386" w:rsidR="00AC3A9C" w:rsidRPr="00EE70AE" w:rsidRDefault="00AC3A9C" w:rsidP="00AC3A9C">
      <w:pPr>
        <w:pStyle w:val="Caption"/>
        <w:jc w:val="both"/>
      </w:pPr>
      <w:bookmarkStart w:id="198" w:name="_Ref485815785"/>
      <w:bookmarkStart w:id="199" w:name="_Toc500969360"/>
      <w:r w:rsidRPr="00EE70AE">
        <w:t xml:space="preserve">Figure </w:t>
      </w:r>
      <w:fldSimple w:instr=" SEQ Figure \* ARABIC ">
        <w:r w:rsidR="000D1C35">
          <w:rPr>
            <w:noProof/>
          </w:rPr>
          <w:t>23</w:t>
        </w:r>
      </w:fldSimple>
      <w:bookmarkEnd w:id="198"/>
      <w:r w:rsidRPr="00EE70AE">
        <w:t>: Key implementation steps for the grant funding program</w:t>
      </w:r>
      <w:bookmarkEnd w:id="199"/>
    </w:p>
    <w:p w14:paraId="70D86DBC" w14:textId="577153D2" w:rsidR="008C0122" w:rsidRDefault="00E97BFF" w:rsidP="005C4B2E">
      <w:pPr>
        <w:jc w:val="both"/>
      </w:pPr>
      <w:r>
        <w:rPr>
          <w:noProof/>
        </w:rPr>
        <w:drawing>
          <wp:inline distT="0" distB="0" distL="0" distR="0" wp14:anchorId="31A98591" wp14:editId="0EC8EC8E">
            <wp:extent cx="5098086" cy="3621024"/>
            <wp:effectExtent l="0" t="4445"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a:ext>
                      </a:extLst>
                    </a:blip>
                    <a:srcRect/>
                    <a:stretch/>
                  </pic:blipFill>
                  <pic:spPr bwMode="auto">
                    <a:xfrm rot="5400000">
                      <a:off x="0" y="0"/>
                      <a:ext cx="5098086" cy="3621024"/>
                    </a:xfrm>
                    <a:prstGeom prst="rect">
                      <a:avLst/>
                    </a:prstGeom>
                    <a:ln>
                      <a:noFill/>
                    </a:ln>
                    <a:extLst>
                      <a:ext uri="{53640926-AAD7-44D8-BBD7-CCE9431645EC}">
                        <a14:shadowObscured xmlns:a14="http://schemas.microsoft.com/office/drawing/2010/main"/>
                      </a:ext>
                    </a:extLst>
                  </pic:spPr>
                </pic:pic>
              </a:graphicData>
            </a:graphic>
          </wp:inline>
        </w:drawing>
      </w:r>
    </w:p>
    <w:p w14:paraId="66BE20F9" w14:textId="5C6F4A2D" w:rsidR="00CF4612" w:rsidRPr="007506E1" w:rsidRDefault="00CF4612" w:rsidP="005C4B2E">
      <w:pPr>
        <w:jc w:val="both"/>
      </w:pPr>
    </w:p>
    <w:p w14:paraId="4C2F3740" w14:textId="08E506EE" w:rsidR="000D13CA" w:rsidRPr="00955049" w:rsidRDefault="000D13CA" w:rsidP="00955049">
      <w:pPr>
        <w:pStyle w:val="H2NEWreportStyle"/>
      </w:pPr>
      <w:bookmarkStart w:id="200" w:name="_Toc501097052"/>
      <w:r w:rsidRPr="00955049">
        <w:lastRenderedPageBreak/>
        <w:t>Financial interventions for the irrigation market</w:t>
      </w:r>
      <w:bookmarkEnd w:id="200"/>
    </w:p>
    <w:p w14:paraId="5F1DF7A0" w14:textId="77777777" w:rsidR="00BB2DAB" w:rsidRDefault="00BB2DAB" w:rsidP="00BB2DAB">
      <w:pPr>
        <w:jc w:val="both"/>
        <w:rPr>
          <w:rFonts w:cs="Segoe UI"/>
        </w:rPr>
      </w:pPr>
      <w:r>
        <w:rPr>
          <w:rFonts w:cs="Segoe UI"/>
        </w:rPr>
        <w:t xml:space="preserve">Insights from consultations and our own modelling suggest that there is a farm-level business case for the adoption of irrigation technologies across different farm sizes ranging from smallholder farms to large commercial farms. To provide the water needed for agricultural irrigation, farms require pumps. Historically, pumps have been either grid-, generator-, or hand-powered, but increasingly solar pumps are entering African markets. </w:t>
      </w:r>
    </w:p>
    <w:p w14:paraId="1BB19EF7" w14:textId="77777777" w:rsidR="00BB2DAB" w:rsidRDefault="00BB2DAB" w:rsidP="00BB2DAB">
      <w:pPr>
        <w:jc w:val="both"/>
        <w:rPr>
          <w:rFonts w:cs="Segoe UI"/>
        </w:rPr>
      </w:pPr>
      <w:r>
        <w:rPr>
          <w:rFonts w:cs="Segoe UI"/>
        </w:rPr>
        <w:t xml:space="preserve">Large, commercial farms can access bank financing for solar pumping systems, even if substantial collateral is required. Providing TA to the banks to ensure they fully understand the needs and the risks of this market should suffice as intervention. In contrast, smallholder farmers, who represent a significant share of the market, are very hard to access and service. </w:t>
      </w:r>
    </w:p>
    <w:p w14:paraId="082C1FD5" w14:textId="77777777" w:rsidR="00BB2DAB" w:rsidRPr="0057754E" w:rsidRDefault="00BB2DAB" w:rsidP="00BB2DAB">
      <w:pPr>
        <w:jc w:val="both"/>
        <w:rPr>
          <w:rFonts w:cs="Segoe UI"/>
        </w:rPr>
      </w:pPr>
      <w:r w:rsidRPr="0057754E">
        <w:rPr>
          <w:rFonts w:cs="Segoe UI"/>
        </w:rPr>
        <w:t>Unlocking the market for irrigation technologies for smallholder farmers requires overcoming many challenges; these include among other:</w:t>
      </w:r>
    </w:p>
    <w:p w14:paraId="1FCDE767" w14:textId="77777777" w:rsidR="00BB2DAB" w:rsidRPr="0057754E" w:rsidRDefault="00BB2DAB" w:rsidP="006A7E1D">
      <w:pPr>
        <w:pStyle w:val="ListParagraph"/>
        <w:numPr>
          <w:ilvl w:val="0"/>
          <w:numId w:val="18"/>
        </w:numPr>
        <w:jc w:val="both"/>
        <w:rPr>
          <w:rFonts w:cs="Segoe UI"/>
        </w:rPr>
      </w:pPr>
      <w:r w:rsidRPr="0057754E">
        <w:rPr>
          <w:rFonts w:cs="Segoe UI"/>
        </w:rPr>
        <w:t>the lack of access to water infrastructure;</w:t>
      </w:r>
    </w:p>
    <w:p w14:paraId="393316A9" w14:textId="77777777" w:rsidR="00BB2DAB" w:rsidRPr="0057754E" w:rsidRDefault="00BB2DAB" w:rsidP="006A7E1D">
      <w:pPr>
        <w:pStyle w:val="ListParagraph"/>
        <w:numPr>
          <w:ilvl w:val="0"/>
          <w:numId w:val="18"/>
        </w:numPr>
        <w:jc w:val="both"/>
        <w:rPr>
          <w:rFonts w:cs="Segoe UI"/>
        </w:rPr>
      </w:pPr>
      <w:r w:rsidRPr="0057754E">
        <w:rPr>
          <w:rFonts w:cs="Segoe UI"/>
        </w:rPr>
        <w:t>limited benefit awareness of solar and even irrigation systems;</w:t>
      </w:r>
    </w:p>
    <w:p w14:paraId="77F92CBB" w14:textId="77777777" w:rsidR="00BB2DAB" w:rsidRPr="0057754E" w:rsidRDefault="00BB2DAB" w:rsidP="006A7E1D">
      <w:pPr>
        <w:pStyle w:val="ListParagraph"/>
        <w:numPr>
          <w:ilvl w:val="0"/>
          <w:numId w:val="18"/>
        </w:numPr>
        <w:jc w:val="both"/>
        <w:rPr>
          <w:rFonts w:cs="Segoe UI"/>
        </w:rPr>
      </w:pPr>
      <w:r w:rsidRPr="0057754E">
        <w:rPr>
          <w:rFonts w:cs="Segoe UI"/>
        </w:rPr>
        <w:t xml:space="preserve">low </w:t>
      </w:r>
      <w:r>
        <w:rPr>
          <w:rFonts w:cs="Segoe UI"/>
        </w:rPr>
        <w:t>purchasing power</w:t>
      </w:r>
      <w:r w:rsidRPr="0057754E">
        <w:rPr>
          <w:rFonts w:cs="Segoe UI"/>
        </w:rPr>
        <w:t xml:space="preserve"> contrasting with high technology costs;</w:t>
      </w:r>
    </w:p>
    <w:p w14:paraId="2D35EBE2" w14:textId="77777777" w:rsidR="00BB2DAB" w:rsidRPr="0057754E" w:rsidRDefault="00BB2DAB" w:rsidP="006A7E1D">
      <w:pPr>
        <w:pStyle w:val="ListParagraph"/>
        <w:numPr>
          <w:ilvl w:val="0"/>
          <w:numId w:val="18"/>
        </w:numPr>
        <w:jc w:val="both"/>
        <w:rPr>
          <w:rFonts w:cs="Segoe UI"/>
        </w:rPr>
      </w:pPr>
      <w:r w:rsidRPr="0057754E">
        <w:rPr>
          <w:rFonts w:cs="Segoe UI"/>
        </w:rPr>
        <w:t>limited access to financial services; and</w:t>
      </w:r>
    </w:p>
    <w:p w14:paraId="08A710F3" w14:textId="77777777" w:rsidR="00BB2DAB" w:rsidRPr="0057754E" w:rsidRDefault="00BB2DAB" w:rsidP="006A7E1D">
      <w:pPr>
        <w:pStyle w:val="ListParagraph"/>
        <w:numPr>
          <w:ilvl w:val="0"/>
          <w:numId w:val="18"/>
        </w:numPr>
        <w:jc w:val="both"/>
        <w:rPr>
          <w:rFonts w:cs="Segoe UI"/>
        </w:rPr>
      </w:pPr>
      <w:r w:rsidRPr="0057754E">
        <w:rPr>
          <w:rFonts w:cs="Segoe UI"/>
        </w:rPr>
        <w:t>few formal distribution channels to reach into rural farming areas.</w:t>
      </w:r>
    </w:p>
    <w:p w14:paraId="0C41F792" w14:textId="77777777" w:rsidR="00BB2DAB" w:rsidRDefault="00BB2DAB" w:rsidP="00BB2DAB">
      <w:pPr>
        <w:ind w:left="60"/>
        <w:jc w:val="both"/>
        <w:rPr>
          <w:rFonts w:cs="Segoe UI"/>
        </w:rPr>
      </w:pPr>
      <w:r w:rsidRPr="0057754E">
        <w:rPr>
          <w:rFonts w:cs="Segoe UI"/>
        </w:rPr>
        <w:t xml:space="preserve">In addition, purely providing solar pumping systems will not ensure the business case holds true; smallholder farmers need holistic support, </w:t>
      </w:r>
      <w:r>
        <w:rPr>
          <w:rFonts w:cs="Segoe UI"/>
        </w:rPr>
        <w:t xml:space="preserve">among other </w:t>
      </w:r>
      <w:r w:rsidRPr="0057754E">
        <w:rPr>
          <w:rFonts w:cs="Segoe UI"/>
        </w:rPr>
        <w:t>(i) input and output market linkages, (ii) access to better inputs, (iii) finance, and (iv) training on good agriculture practices</w:t>
      </w:r>
      <w:r>
        <w:rPr>
          <w:rFonts w:cs="Segoe UI"/>
        </w:rPr>
        <w:t xml:space="preserve">. Overall, unlocking this market will only be achievable in the short term if consumer financing options are made available to smallholder farmers to purchase solar pumping kits. </w:t>
      </w:r>
    </w:p>
    <w:p w14:paraId="59C365D8" w14:textId="77777777" w:rsidR="00BB2DAB" w:rsidRDefault="00BB2DAB" w:rsidP="00BB2DAB">
      <w:pPr>
        <w:jc w:val="both"/>
        <w:rPr>
          <w:rFonts w:cs="Segoe UI"/>
        </w:rPr>
      </w:pPr>
      <w:r>
        <w:rPr>
          <w:rFonts w:cs="Segoe UI"/>
        </w:rPr>
        <w:t>However, most smallholder farmers in Niger are unbanked, and operate predominantly in unstructured, informal supply chains. Therefore, the provision of financial services will be very challenging; and most likely significant market intervention will be required to stimulate demand by building benefit awareness and increasing the risk appetite of lenders.</w:t>
      </w:r>
    </w:p>
    <w:p w14:paraId="3826E616" w14:textId="77777777" w:rsidR="00BB2DAB" w:rsidRDefault="00BB2DAB" w:rsidP="00BB2DAB">
      <w:pPr>
        <w:jc w:val="both"/>
        <w:rPr>
          <w:rFonts w:cs="Segoe UI"/>
        </w:rPr>
      </w:pPr>
      <w:r>
        <w:rPr>
          <w:rFonts w:cs="Segoe UI"/>
        </w:rPr>
        <w:t xml:space="preserve">We recommend focusing any interventions on demonstrating impact at the smallholder farmer level through interventions in structured value chains. Smallholder farmers in structured, formal supply chains typically have the required input and output market linkages, so that financial service providers are more willing to engage with them. Supply chain financing models can be a successful way to structure such lending, so that the asset financing repayments are collected by the buyer of the crops, and in some cases the buyer will even bare the risk of the lending. First tapping into structured supply chains will allow spill-over of demand into informal farming markets, as positive word-of-mouth and the demonstration effect increase benefit awareness. </w:t>
      </w:r>
    </w:p>
    <w:p w14:paraId="4755B2EF" w14:textId="2EDB1811" w:rsidR="00BB2DAB" w:rsidRDefault="00BB2DAB" w:rsidP="00BB2DAB">
      <w:pPr>
        <w:jc w:val="both"/>
        <w:rPr>
          <w:rFonts w:cs="Segoe UI"/>
        </w:rPr>
      </w:pPr>
      <w:r>
        <w:rPr>
          <w:rFonts w:cs="Segoe UI"/>
        </w:rPr>
        <w:t>As the mar</w:t>
      </w:r>
      <w:r w:rsidR="00A66F4D">
        <w:rPr>
          <w:rFonts w:cs="Segoe UI"/>
        </w:rPr>
        <w:t>ket sizing analysis in chapter 4</w:t>
      </w:r>
      <w:r>
        <w:rPr>
          <w:rFonts w:cs="Segoe UI"/>
        </w:rPr>
        <w:t xml:space="preserve">.3 has shown, the limited land area with water accessibility combined with affordability challenges, limits the market size. As for the market for household solar </w:t>
      </w:r>
      <w:r>
        <w:rPr>
          <w:rFonts w:cs="Segoe UI"/>
        </w:rPr>
        <w:lastRenderedPageBreak/>
        <w:t>systems, we built a financial model for a water pumps distributor to simulate the funding requirements w</w:t>
      </w:r>
      <w:r w:rsidR="00741EC3">
        <w:rPr>
          <w:rFonts w:cs="Segoe UI"/>
        </w:rPr>
        <w:t xml:space="preserve">ithin this sector; see </w:t>
      </w:r>
      <w:r w:rsidR="00741EC3">
        <w:rPr>
          <w:rFonts w:cs="Segoe UI"/>
        </w:rPr>
        <w:fldChar w:fldCharType="begin"/>
      </w:r>
      <w:r w:rsidR="00741EC3">
        <w:rPr>
          <w:rFonts w:cs="Segoe UI"/>
        </w:rPr>
        <w:instrText xml:space="preserve"> REF _Ref475627569 \h </w:instrText>
      </w:r>
      <w:r w:rsidR="00741EC3">
        <w:rPr>
          <w:rFonts w:cs="Segoe UI"/>
        </w:rPr>
      </w:r>
      <w:r w:rsidR="00741EC3">
        <w:rPr>
          <w:rFonts w:cs="Segoe UI"/>
        </w:rPr>
        <w:fldChar w:fldCharType="separate"/>
      </w:r>
      <w:r w:rsidR="000D1C35">
        <w:t xml:space="preserve">Figure </w:t>
      </w:r>
      <w:r w:rsidR="000D1C35">
        <w:rPr>
          <w:noProof/>
        </w:rPr>
        <w:t>24</w:t>
      </w:r>
      <w:r w:rsidR="00741EC3">
        <w:rPr>
          <w:rFonts w:cs="Segoe UI"/>
        </w:rPr>
        <w:fldChar w:fldCharType="end"/>
      </w:r>
      <w:r>
        <w:rPr>
          <w:rFonts w:cs="Segoe UI"/>
        </w:rPr>
        <w:t xml:space="preserve"> for further details.</w:t>
      </w:r>
    </w:p>
    <w:p w14:paraId="5A234AE3" w14:textId="4622B654" w:rsidR="00075B32" w:rsidRDefault="00075B32" w:rsidP="00BB2DAB">
      <w:pPr>
        <w:jc w:val="both"/>
        <w:rPr>
          <w:rFonts w:cs="Segoe UI"/>
        </w:rPr>
      </w:pPr>
    </w:p>
    <w:p w14:paraId="3CB98092" w14:textId="23E5E49C" w:rsidR="00075B32" w:rsidRDefault="00075B32" w:rsidP="00BB2DAB">
      <w:pPr>
        <w:jc w:val="both"/>
        <w:rPr>
          <w:rFonts w:cs="Segoe UI"/>
        </w:rPr>
      </w:pPr>
    </w:p>
    <w:p w14:paraId="458005E5" w14:textId="77777777" w:rsidR="00075B32" w:rsidRDefault="00075B32" w:rsidP="00BB2DAB">
      <w:pPr>
        <w:jc w:val="both"/>
        <w:rPr>
          <w:rFonts w:cs="Segoe UI"/>
        </w:rPr>
      </w:pPr>
    </w:p>
    <w:p w14:paraId="2AF168B7" w14:textId="74D4FF6A" w:rsidR="00075B32" w:rsidRDefault="00075B32" w:rsidP="00BB2DAB">
      <w:pPr>
        <w:jc w:val="both"/>
        <w:rPr>
          <w:rFonts w:cs="Segoe UI"/>
        </w:rPr>
      </w:pPr>
      <w:r>
        <w:rPr>
          <w:noProof/>
        </w:rPr>
        <mc:AlternateContent>
          <mc:Choice Requires="wps">
            <w:drawing>
              <wp:inline distT="0" distB="0" distL="0" distR="0" wp14:anchorId="2A57692A" wp14:editId="766A3A36">
                <wp:extent cx="5925185" cy="238125"/>
                <wp:effectExtent l="0" t="0" r="0" b="9525"/>
                <wp:docPr id="47" name="Text Box 47"/>
                <wp:cNvGraphicFramePr/>
                <a:graphic xmlns:a="http://schemas.openxmlformats.org/drawingml/2006/main">
                  <a:graphicData uri="http://schemas.microsoft.com/office/word/2010/wordprocessingShape">
                    <wps:wsp>
                      <wps:cNvSpPr txBox="1"/>
                      <wps:spPr>
                        <a:xfrm>
                          <a:off x="0" y="0"/>
                          <a:ext cx="5925185" cy="238125"/>
                        </a:xfrm>
                        <a:prstGeom prst="rect">
                          <a:avLst/>
                        </a:prstGeom>
                        <a:solidFill>
                          <a:prstClr val="white"/>
                        </a:solidFill>
                        <a:ln>
                          <a:noFill/>
                        </a:ln>
                      </wps:spPr>
                      <wps:txbx>
                        <w:txbxContent>
                          <w:p w14:paraId="5B80BCB9" w14:textId="5202EAE1" w:rsidR="00BB3453" w:rsidRPr="0009232C" w:rsidRDefault="00BB3453" w:rsidP="00075B32">
                            <w:pPr>
                              <w:pStyle w:val="Caption"/>
                              <w:rPr>
                                <w:rFonts w:cs="Segoe UI"/>
                                <w:noProof/>
                              </w:rPr>
                            </w:pPr>
                            <w:bookmarkStart w:id="201" w:name="_Ref475627569"/>
                            <w:bookmarkStart w:id="202" w:name="_Toc475649567"/>
                            <w:bookmarkStart w:id="203" w:name="_Toc500969361"/>
                            <w:r>
                              <w:t xml:space="preserve">Figure </w:t>
                            </w:r>
                            <w:fldSimple w:instr=" SEQ Figure \* ARABIC ">
                              <w:r>
                                <w:rPr>
                                  <w:noProof/>
                                </w:rPr>
                                <w:t>24</w:t>
                              </w:r>
                            </w:fldSimple>
                            <w:bookmarkEnd w:id="201"/>
                            <w:r>
                              <w:t>: Summary of inputs to the financial projections for a solar water pump business in Niger</w:t>
                            </w:r>
                            <w:bookmarkEnd w:id="202"/>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A57692A" id="Text Box 47" o:spid="_x0000_s1048" type="#_x0000_t202" style="width:466.5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" stroked="f">
                <v:textbox inset="0,0,0,0">
                  <w:txbxContent>
                    <w:p w14:paraId="5B80BCB9" w14:textId="5202EAE1" w:rsidR="00BB3453" w:rsidRPr="0009232C" w:rsidRDefault="00BB3453" w:rsidP="00075B32">
                      <w:pPr>
                        <w:pStyle w:val="Caption"/>
                        <w:rPr>
                          <w:rFonts w:cs="Segoe UI"/>
                          <w:noProof/>
                        </w:rPr>
                      </w:pPr>
                      <w:bookmarkStart w:id="226" w:name="_Ref475627569"/>
                      <w:bookmarkStart w:id="227" w:name="_Toc475649567"/>
                      <w:bookmarkStart w:id="228" w:name="_Toc500969361"/>
                      <w:r>
                        <w:t xml:space="preserve">Figure </w:t>
                      </w:r>
                      <w:fldSimple w:instr=" SEQ Figure \* ARABIC ">
                        <w:r>
                          <w:rPr>
                            <w:noProof/>
                          </w:rPr>
                          <w:t>24</w:t>
                        </w:r>
                      </w:fldSimple>
                      <w:bookmarkEnd w:id="226"/>
                      <w:r>
                        <w:t>: Summary of inputs to the financial projections for a solar water pump business in Niger</w:t>
                      </w:r>
                      <w:bookmarkEnd w:id="227"/>
                      <w:bookmarkEnd w:id="228"/>
                    </w:p>
                  </w:txbxContent>
                </v:textbox>
                <w10:anchorlock/>
              </v:shape>
            </w:pict>
          </mc:Fallback>
        </mc:AlternateContent>
      </w:r>
    </w:p>
    <w:p w14:paraId="3DBE459A" w14:textId="77777777" w:rsidR="00BB2DAB" w:rsidRDefault="00BB2DAB" w:rsidP="00BB2DAB">
      <w:pPr>
        <w:jc w:val="both"/>
        <w:rPr>
          <w:rFonts w:cs="Segoe UI"/>
        </w:rPr>
      </w:pPr>
      <w:r>
        <w:rPr>
          <w:rFonts w:cs="Segoe UI"/>
          <w:noProof/>
        </w:rPr>
        <mc:AlternateContent>
          <mc:Choice Requires="wps">
            <w:drawing>
              <wp:inline distT="0" distB="0" distL="0" distR="0" wp14:anchorId="3624C570" wp14:editId="3BB725E4">
                <wp:extent cx="5925185" cy="5105400"/>
                <wp:effectExtent l="0" t="0" r="18415" b="19050"/>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5105400"/>
                        </a:xfrm>
                        <a:prstGeom prst="rect">
                          <a:avLst/>
                        </a:prstGeom>
                        <a:solidFill>
                          <a:schemeClr val="accent2">
                            <a:lumMod val="20000"/>
                            <a:lumOff val="80000"/>
                          </a:schemeClr>
                        </a:solidFill>
                        <a:ln w="15875">
                          <a:solidFill>
                            <a:schemeClr val="bg2">
                              <a:lumMod val="50000"/>
                              <a:alpha val="91000"/>
                            </a:schemeClr>
                          </a:solidFill>
                        </a:ln>
                        <a:extLst/>
                      </wps:spPr>
                      <wps:style>
                        <a:lnRef idx="0">
                          <a:scrgbClr r="0" g="0" b="0"/>
                        </a:lnRef>
                        <a:fillRef idx="1002">
                          <a:schemeClr val="lt2"/>
                        </a:fillRef>
                        <a:effectRef idx="0">
                          <a:scrgbClr r="0" g="0" b="0"/>
                        </a:effectRef>
                        <a:fontRef idx="major"/>
                      </wps:style>
                      <wps:txbx>
                        <w:txbxContent>
                          <w:p w14:paraId="4E80159D" w14:textId="77777777" w:rsidR="00BB3453" w:rsidRPr="006A5E47" w:rsidRDefault="00BB3453" w:rsidP="00BB2DAB">
                            <w:pPr>
                              <w:spacing w:before="360" w:after="360" w:line="240" w:lineRule="auto"/>
                              <w:rPr>
                                <w:rFonts w:eastAsiaTheme="majorEastAsia" w:cs="Segoe UI"/>
                                <w:color w:val="ADD2D7" w:themeColor="accent1"/>
                                <w:sz w:val="32"/>
                                <w:szCs w:val="32"/>
                              </w:rPr>
                            </w:pPr>
                            <w:r>
                              <w:rPr>
                                <w:rFonts w:eastAsiaTheme="majorEastAsia" w:cs="Segoe UI"/>
                                <w:color w:val="ADD2D7" w:themeColor="accent1"/>
                                <w:sz w:val="32"/>
                                <w:szCs w:val="32"/>
                              </w:rPr>
                              <w:t>F</w:t>
                            </w:r>
                            <w:r w:rsidRPr="006A5E47">
                              <w:rPr>
                                <w:rFonts w:eastAsiaTheme="majorEastAsia" w:cs="Segoe UI"/>
                                <w:color w:val="ADD2D7" w:themeColor="accent1"/>
                                <w:sz w:val="32"/>
                                <w:szCs w:val="32"/>
                              </w:rPr>
                              <w:t xml:space="preserve">inancial projections for </w:t>
                            </w:r>
                            <w:r>
                              <w:rPr>
                                <w:rFonts w:eastAsiaTheme="majorEastAsia" w:cs="Segoe UI"/>
                                <w:color w:val="ADD2D7" w:themeColor="accent1"/>
                                <w:sz w:val="32"/>
                                <w:szCs w:val="32"/>
                              </w:rPr>
                              <w:t xml:space="preserve">a </w:t>
                            </w:r>
                            <w:r w:rsidRPr="006A5E47">
                              <w:rPr>
                                <w:rFonts w:eastAsiaTheme="majorEastAsia" w:cs="Segoe UI"/>
                                <w:color w:val="ADD2D7" w:themeColor="accent1"/>
                                <w:sz w:val="32"/>
                                <w:szCs w:val="32"/>
                              </w:rPr>
                              <w:t xml:space="preserve">solar </w:t>
                            </w:r>
                            <w:r>
                              <w:rPr>
                                <w:rFonts w:eastAsiaTheme="majorEastAsia" w:cs="Segoe UI"/>
                                <w:color w:val="ADD2D7" w:themeColor="accent1"/>
                                <w:sz w:val="32"/>
                                <w:szCs w:val="32"/>
                              </w:rPr>
                              <w:t>water pump b</w:t>
                            </w:r>
                            <w:r w:rsidRPr="006A5E47">
                              <w:rPr>
                                <w:rFonts w:eastAsiaTheme="majorEastAsia" w:cs="Segoe UI"/>
                                <w:color w:val="ADD2D7" w:themeColor="accent1"/>
                                <w:sz w:val="32"/>
                                <w:szCs w:val="32"/>
                              </w:rPr>
                              <w:t>usiness in Niger</w:t>
                            </w:r>
                          </w:p>
                          <w:p w14:paraId="22CA1A27" w14:textId="77777777" w:rsidR="00BB3453" w:rsidRPr="006A5E47" w:rsidRDefault="00BB3453" w:rsidP="00BB2DAB">
                            <w:pPr>
                              <w:spacing w:after="100"/>
                              <w:rPr>
                                <w:rFonts w:cs="Segoe UI"/>
                                <w:b/>
                                <w:color w:val="366092" w:themeColor="text2"/>
                                <w:sz w:val="20"/>
                                <w:szCs w:val="20"/>
                              </w:rPr>
                            </w:pPr>
                            <w:r w:rsidRPr="006A5E47">
                              <w:rPr>
                                <w:rFonts w:cs="Segoe UI"/>
                                <w:b/>
                                <w:color w:val="366092" w:themeColor="text2"/>
                                <w:sz w:val="20"/>
                                <w:szCs w:val="20"/>
                              </w:rPr>
                              <w:t>General inputs</w:t>
                            </w:r>
                          </w:p>
                          <w:p w14:paraId="3E5A1625" w14:textId="45809803" w:rsidR="00BB3453" w:rsidRPr="002D61EA"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Due to the low-income levels in Niger, we only included 2 relatively low cost products into the analysis, one solar pumping kit priced at US $650 and a micro solar pumping kit priced at US $400. While we are not aware of any quality, durable solar pumping kits currently available in the market at a price of US $400, we do know that multiple players are currently developing such a kit.</w:t>
                            </w:r>
                          </w:p>
                          <w:tbl>
                            <w:tblPr>
                              <w:tblStyle w:val="GridTable2"/>
                              <w:tblW w:w="0" w:type="auto"/>
                              <w:jc w:val="center"/>
                              <w:tblCellMar>
                                <w:top w:w="29" w:type="dxa"/>
                                <w:left w:w="144" w:type="dxa"/>
                                <w:bottom w:w="29" w:type="dxa"/>
                                <w:right w:w="144" w:type="dxa"/>
                              </w:tblCellMar>
                              <w:tblLook w:val="04A0" w:firstRow="1" w:lastRow="0" w:firstColumn="1" w:lastColumn="0" w:noHBand="0" w:noVBand="1"/>
                            </w:tblPr>
                            <w:tblGrid>
                              <w:gridCol w:w="2790"/>
                              <w:gridCol w:w="1137"/>
                              <w:gridCol w:w="1137"/>
                              <w:gridCol w:w="1265"/>
                              <w:gridCol w:w="1265"/>
                            </w:tblGrid>
                            <w:tr w:rsidR="00BB3453" w:rsidRPr="00157A16" w14:paraId="5AAD0915" w14:textId="77777777" w:rsidTr="0027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21106A53" w14:textId="77777777" w:rsidR="00BB3453" w:rsidRPr="00157A16" w:rsidRDefault="00BB3453" w:rsidP="00F90513">
                                  <w:pPr>
                                    <w:rPr>
                                      <w:rFonts w:cs="Segoe UI"/>
                                      <w:color w:val="366092" w:themeColor="text2"/>
                                      <w:sz w:val="16"/>
                                      <w:szCs w:val="16"/>
                                    </w:rPr>
                                  </w:pPr>
                                  <w:r w:rsidRPr="00157A16">
                                    <w:rPr>
                                      <w:rFonts w:cs="Segoe UI"/>
                                      <w:color w:val="366092" w:themeColor="text2"/>
                                      <w:sz w:val="16"/>
                                      <w:szCs w:val="16"/>
                                    </w:rPr>
                                    <w:t>Product</w:t>
                                  </w:r>
                                </w:p>
                              </w:tc>
                              <w:tc>
                                <w:tcPr>
                                  <w:tcW w:w="1137" w:type="dxa"/>
                                </w:tcPr>
                                <w:p w14:paraId="0DCBC6A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Price</w:t>
                                  </w:r>
                                </w:p>
                                <w:p w14:paraId="5D918A20"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(US $)</w:t>
                                  </w:r>
                                </w:p>
                              </w:tc>
                              <w:tc>
                                <w:tcPr>
                                  <w:tcW w:w="1137" w:type="dxa"/>
                                </w:tcPr>
                                <w:p w14:paraId="336CDF11"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Lifetime</w:t>
                                  </w:r>
                                </w:p>
                                <w:p w14:paraId="72B66929"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in years</w:t>
                                  </w:r>
                                </w:p>
                              </w:tc>
                              <w:tc>
                                <w:tcPr>
                                  <w:tcW w:w="1265" w:type="dxa"/>
                                </w:tcPr>
                                <w:p w14:paraId="5AED4FD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Consumer loans (CL)</w:t>
                                  </w:r>
                                </w:p>
                              </w:tc>
                              <w:tc>
                                <w:tcPr>
                                  <w:tcW w:w="1265" w:type="dxa"/>
                                </w:tcPr>
                                <w:p w14:paraId="5D1DC8CB"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 xml:space="preserve">CL tender in months </w:t>
                                  </w:r>
                                </w:p>
                              </w:tc>
                            </w:tr>
                            <w:tr w:rsidR="00BB3453" w:rsidRPr="00157A16" w14:paraId="5FB3FE78" w14:textId="77777777" w:rsidTr="0027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3B4255B4" w14:textId="77777777" w:rsidR="00BB3453" w:rsidRPr="00157A16" w:rsidRDefault="00BB3453" w:rsidP="00F90513">
                                  <w:pPr>
                                    <w:spacing w:after="90"/>
                                    <w:rPr>
                                      <w:rFonts w:cs="Segoe UI"/>
                                      <w:b w:val="0"/>
                                      <w:color w:val="366092" w:themeColor="text2"/>
                                      <w:sz w:val="16"/>
                                      <w:szCs w:val="16"/>
                                    </w:rPr>
                                  </w:pPr>
                                  <w:r>
                                    <w:rPr>
                                      <w:rFonts w:cs="Segoe UI"/>
                                      <w:b w:val="0"/>
                                      <w:color w:val="366092" w:themeColor="text2"/>
                                      <w:sz w:val="16"/>
                                      <w:szCs w:val="16"/>
                                    </w:rPr>
                                    <w:t>Micro solar pumping kit (in dev’t)</w:t>
                                  </w:r>
                                </w:p>
                              </w:tc>
                              <w:tc>
                                <w:tcPr>
                                  <w:tcW w:w="1137" w:type="dxa"/>
                                </w:tcPr>
                                <w:p w14:paraId="7ADEA384" w14:textId="0AA9918C"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400</w:t>
                                  </w:r>
                                </w:p>
                              </w:tc>
                              <w:tc>
                                <w:tcPr>
                                  <w:tcW w:w="1137" w:type="dxa"/>
                                </w:tcPr>
                                <w:p w14:paraId="4A3409F2" w14:textId="6D4F9DD2"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w:t>
                                  </w:r>
                                </w:p>
                              </w:tc>
                              <w:tc>
                                <w:tcPr>
                                  <w:tcW w:w="1265" w:type="dxa"/>
                                </w:tcPr>
                                <w:p w14:paraId="496E60A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Yes</w:t>
                                  </w:r>
                                </w:p>
                              </w:tc>
                              <w:tc>
                                <w:tcPr>
                                  <w:tcW w:w="1265" w:type="dxa"/>
                                </w:tcPr>
                                <w:p w14:paraId="2A7EDB6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24</w:t>
                                  </w:r>
                                </w:p>
                              </w:tc>
                            </w:tr>
                            <w:tr w:rsidR="00BB3453" w:rsidRPr="00157A16" w14:paraId="49B99577" w14:textId="77777777" w:rsidTr="00271AB3">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17362BB2" w14:textId="009F6E8A" w:rsidR="00BB3453" w:rsidRPr="00157A16" w:rsidRDefault="00BB3453" w:rsidP="00F90513">
                                  <w:pPr>
                                    <w:spacing w:after="90"/>
                                    <w:rPr>
                                      <w:rFonts w:cs="Segoe UI"/>
                                      <w:b w:val="0"/>
                                      <w:color w:val="366092" w:themeColor="text2"/>
                                      <w:sz w:val="16"/>
                                      <w:szCs w:val="16"/>
                                    </w:rPr>
                                  </w:pPr>
                                  <w:r>
                                    <w:rPr>
                                      <w:rFonts w:cs="Segoe UI"/>
                                      <w:b w:val="0"/>
                                      <w:color w:val="366092" w:themeColor="text2"/>
                                      <w:sz w:val="16"/>
                                      <w:szCs w:val="16"/>
                                    </w:rPr>
                                    <w:t>Small solar pumping kit</w:t>
                                  </w:r>
                                </w:p>
                              </w:tc>
                              <w:tc>
                                <w:tcPr>
                                  <w:tcW w:w="1137" w:type="dxa"/>
                                </w:tcPr>
                                <w:p w14:paraId="143706EF"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650</w:t>
                                  </w:r>
                                </w:p>
                              </w:tc>
                              <w:tc>
                                <w:tcPr>
                                  <w:tcW w:w="1137" w:type="dxa"/>
                                </w:tcPr>
                                <w:p w14:paraId="1E11CC4D" w14:textId="360B73B1"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w:t>
                                  </w:r>
                                </w:p>
                              </w:tc>
                              <w:tc>
                                <w:tcPr>
                                  <w:tcW w:w="1265" w:type="dxa"/>
                                </w:tcPr>
                                <w:p w14:paraId="2BD778C5" w14:textId="77777777" w:rsidR="00BB3453" w:rsidRPr="00157A16" w:rsidRDefault="00BB3453" w:rsidP="002D61EA">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Yes</w:t>
                                  </w:r>
                                </w:p>
                              </w:tc>
                              <w:tc>
                                <w:tcPr>
                                  <w:tcW w:w="1265" w:type="dxa"/>
                                </w:tcPr>
                                <w:p w14:paraId="0440EC65"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24</w:t>
                                  </w:r>
                                </w:p>
                              </w:tc>
                            </w:tr>
                          </w:tbl>
                          <w:p w14:paraId="6FA7C79A" w14:textId="77777777" w:rsidR="00BB3453" w:rsidRPr="00157A16" w:rsidRDefault="00BB3453" w:rsidP="00BB2DAB">
                            <w:pPr>
                              <w:spacing w:after="90"/>
                              <w:ind w:left="720"/>
                              <w:rPr>
                                <w:rFonts w:cs="Segoe UI"/>
                                <w:color w:val="366092" w:themeColor="text2"/>
                                <w:sz w:val="20"/>
                                <w:szCs w:val="20"/>
                              </w:rPr>
                            </w:pPr>
                          </w:p>
                          <w:p w14:paraId="12A142D4" w14:textId="7FC918ED" w:rsidR="00BB3453" w:rsidRPr="00A7518B" w:rsidRDefault="00BB3453" w:rsidP="006A7E1D">
                            <w:pPr>
                              <w:numPr>
                                <w:ilvl w:val="0"/>
                                <w:numId w:val="16"/>
                              </w:numPr>
                              <w:spacing w:after="90"/>
                              <w:rPr>
                                <w:rFonts w:cs="Segoe UI"/>
                                <w:color w:val="366092" w:themeColor="text2"/>
                                <w:sz w:val="18"/>
                                <w:szCs w:val="18"/>
                              </w:rPr>
                            </w:pPr>
                            <w:bookmarkStart w:id="204" w:name="_Hlk485667354"/>
                            <w:r w:rsidRPr="00A7518B">
                              <w:rPr>
                                <w:rFonts w:cs="Segoe UI"/>
                                <w:color w:val="366092" w:themeColor="text2"/>
                                <w:sz w:val="18"/>
                                <w:szCs w:val="18"/>
                              </w:rPr>
                              <w:t xml:space="preserve">The price points assume that products are exempt from import duties. </w:t>
                            </w:r>
                          </w:p>
                          <w:bookmarkEnd w:id="204"/>
                          <w:p w14:paraId="4F8D7770"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Distribution via a hub and spoke model leveraging third party store and agent networks; the partner networks are complemented with</w:t>
                            </w:r>
                            <w:r>
                              <w:rPr>
                                <w:rFonts w:cs="Segoe UI"/>
                                <w:color w:val="366092" w:themeColor="text2"/>
                                <w:sz w:val="18"/>
                                <w:szCs w:val="18"/>
                              </w:rPr>
                              <w:t xml:space="preserve"> t</w:t>
                            </w:r>
                            <w:r w:rsidRPr="00157A16">
                              <w:rPr>
                                <w:rFonts w:cs="Segoe UI"/>
                                <w:color w:val="366092" w:themeColor="text2"/>
                                <w:sz w:val="18"/>
                                <w:szCs w:val="18"/>
                              </w:rPr>
                              <w:t xml:space="preserve">echnical after-sales support staff. </w:t>
                            </w:r>
                          </w:p>
                          <w:p w14:paraId="012BD4EA"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Stores and agents require in-depth training on business skills, products, and financing options, and then receive sales commissions, for sale (7.5%) and referral (5%) respectively.</w:t>
                            </w:r>
                          </w:p>
                          <w:p w14:paraId="0993C497" w14:textId="77777777" w:rsidR="00BB3453" w:rsidRPr="006A5E47" w:rsidRDefault="00BB3453" w:rsidP="00BB2DAB">
                            <w:pPr>
                              <w:spacing w:after="100"/>
                              <w:rPr>
                                <w:rFonts w:cs="Segoe UI"/>
                                <w:b/>
                                <w:color w:val="366092" w:themeColor="text2"/>
                                <w:sz w:val="20"/>
                                <w:szCs w:val="20"/>
                              </w:rPr>
                            </w:pPr>
                            <w:r>
                              <w:rPr>
                                <w:rFonts w:cs="Segoe UI"/>
                                <w:b/>
                                <w:color w:val="366092" w:themeColor="text2"/>
                                <w:sz w:val="20"/>
                                <w:szCs w:val="20"/>
                              </w:rPr>
                              <w:t>Niger</w:t>
                            </w:r>
                            <w:r w:rsidRPr="006A5E47">
                              <w:rPr>
                                <w:rFonts w:cs="Segoe UI"/>
                                <w:b/>
                                <w:color w:val="366092" w:themeColor="text2"/>
                                <w:sz w:val="20"/>
                                <w:szCs w:val="20"/>
                              </w:rPr>
                              <w:t>-specific inputs</w:t>
                            </w:r>
                          </w:p>
                          <w:p w14:paraId="04E99573" w14:textId="77777777" w:rsidR="00BB3453" w:rsidRDefault="00BB3453" w:rsidP="006A7E1D">
                            <w:pPr>
                              <w:numPr>
                                <w:ilvl w:val="0"/>
                                <w:numId w:val="17"/>
                              </w:numPr>
                              <w:spacing w:after="90"/>
                              <w:rPr>
                                <w:rFonts w:cs="Segoe UI"/>
                                <w:color w:val="366092" w:themeColor="text2"/>
                                <w:sz w:val="18"/>
                                <w:szCs w:val="18"/>
                              </w:rPr>
                            </w:pPr>
                            <w:r w:rsidRPr="00157A16">
                              <w:rPr>
                                <w:rFonts w:cs="Segoe UI"/>
                                <w:color w:val="366092" w:themeColor="text2"/>
                                <w:sz w:val="18"/>
                                <w:szCs w:val="18"/>
                              </w:rPr>
                              <w:t>Relative to countries with easier access to international markets (e.g. non-landlocked), contribution margins are around 5-10 % lower reflecting higher inbound transportation costs</w:t>
                            </w:r>
                            <w:r>
                              <w:rPr>
                                <w:rFonts w:cs="Segoe UI"/>
                                <w:color w:val="366092" w:themeColor="text2"/>
                                <w:sz w:val="18"/>
                                <w:szCs w:val="18"/>
                              </w:rPr>
                              <w:t xml:space="preserve">. </w:t>
                            </w:r>
                          </w:p>
                          <w:p w14:paraId="10170B6C" w14:textId="77777777" w:rsidR="00BB3453" w:rsidRPr="00045F4B"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Inventory holding time assumed to be 120 days driven by l</w:t>
                            </w:r>
                            <w:r w:rsidRPr="00157A16">
                              <w:rPr>
                                <w:rFonts w:cs="Segoe UI"/>
                                <w:color w:val="366092" w:themeColor="text2"/>
                                <w:sz w:val="18"/>
                                <w:szCs w:val="18"/>
                              </w:rPr>
                              <w:t xml:space="preserve">ong </w:t>
                            </w:r>
                            <w:r>
                              <w:rPr>
                                <w:rFonts w:cs="Segoe UI"/>
                                <w:color w:val="366092" w:themeColor="text2"/>
                                <w:sz w:val="18"/>
                                <w:szCs w:val="18"/>
                              </w:rPr>
                              <w:t xml:space="preserve">delivery times for sourcing from abroad and </w:t>
                            </w:r>
                            <w:r w:rsidRPr="00157A16">
                              <w:rPr>
                                <w:rFonts w:cs="Segoe UI"/>
                                <w:color w:val="366092" w:themeColor="text2"/>
                                <w:sz w:val="18"/>
                                <w:szCs w:val="18"/>
                              </w:rPr>
                              <w:t xml:space="preserve">transfer of ownership </w:t>
                            </w:r>
                            <w:r>
                              <w:rPr>
                                <w:rFonts w:cs="Segoe UI"/>
                                <w:color w:val="366092" w:themeColor="text2"/>
                                <w:sz w:val="18"/>
                                <w:szCs w:val="18"/>
                              </w:rPr>
                              <w:t xml:space="preserve">(and full payment) </w:t>
                            </w:r>
                            <w:r w:rsidRPr="00157A16">
                              <w:rPr>
                                <w:rFonts w:cs="Segoe UI"/>
                                <w:color w:val="366092" w:themeColor="text2"/>
                                <w:sz w:val="18"/>
                                <w:szCs w:val="18"/>
                              </w:rPr>
                              <w:t>prior to shipment</w:t>
                            </w:r>
                            <w:r>
                              <w:rPr>
                                <w:rFonts w:cs="Segoe UI"/>
                                <w:color w:val="366092" w:themeColor="text2"/>
                                <w:sz w:val="18"/>
                                <w:szCs w:val="18"/>
                              </w:rPr>
                              <w:t>.</w:t>
                            </w:r>
                          </w:p>
                        </w:txbxContent>
                      </wps:txbx>
                      <wps:bodyPr rot="0" vert="horz" wrap="square" lIns="182880" tIns="91440" rIns="182880" bIns="91440" anchor="t" anchorCtr="0" upright="1">
                        <a:noAutofit/>
                      </wps:bodyPr>
                    </wps:wsp>
                  </a:graphicData>
                </a:graphic>
              </wp:inline>
            </w:drawing>
          </mc:Choice>
          <mc:Fallback>
            <w:pict>
              <v:rect w14:anchorId="3624C570" id="AutoShape 14" o:spid="_x0000_s1049" style="width:466.5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" fillcolor="#e6f1f3 [661]" strokecolor="#7f7f7f [1614]" strokeweight="1.25pt">
                <v:stroke opacity="59624f"/>
                <v:textbox inset="14.4pt,7.2pt,14.4pt,7.2pt">
                  <w:txbxContent>
                    <w:p w14:paraId="4E80159D" w14:textId="77777777" w:rsidR="00BB3453" w:rsidRPr="006A5E47" w:rsidRDefault="00BB3453" w:rsidP="00BB2DAB">
                      <w:pPr>
                        <w:spacing w:before="360" w:after="360" w:line="240" w:lineRule="auto"/>
                        <w:rPr>
                          <w:rFonts w:eastAsiaTheme="majorEastAsia" w:cs="Segoe UI"/>
                          <w:color w:val="ADD2D7" w:themeColor="accent1"/>
                          <w:sz w:val="32"/>
                          <w:szCs w:val="32"/>
                        </w:rPr>
                      </w:pPr>
                      <w:r>
                        <w:rPr>
                          <w:rFonts w:eastAsiaTheme="majorEastAsia" w:cs="Segoe UI"/>
                          <w:color w:val="ADD2D7" w:themeColor="accent1"/>
                          <w:sz w:val="32"/>
                          <w:szCs w:val="32"/>
                        </w:rPr>
                        <w:t>F</w:t>
                      </w:r>
                      <w:r w:rsidRPr="006A5E47">
                        <w:rPr>
                          <w:rFonts w:eastAsiaTheme="majorEastAsia" w:cs="Segoe UI"/>
                          <w:color w:val="ADD2D7" w:themeColor="accent1"/>
                          <w:sz w:val="32"/>
                          <w:szCs w:val="32"/>
                        </w:rPr>
                        <w:t xml:space="preserve">inancial projections for </w:t>
                      </w:r>
                      <w:r>
                        <w:rPr>
                          <w:rFonts w:eastAsiaTheme="majorEastAsia" w:cs="Segoe UI"/>
                          <w:color w:val="ADD2D7" w:themeColor="accent1"/>
                          <w:sz w:val="32"/>
                          <w:szCs w:val="32"/>
                        </w:rPr>
                        <w:t xml:space="preserve">a </w:t>
                      </w:r>
                      <w:r w:rsidRPr="006A5E47">
                        <w:rPr>
                          <w:rFonts w:eastAsiaTheme="majorEastAsia" w:cs="Segoe UI"/>
                          <w:color w:val="ADD2D7" w:themeColor="accent1"/>
                          <w:sz w:val="32"/>
                          <w:szCs w:val="32"/>
                        </w:rPr>
                        <w:t xml:space="preserve">solar </w:t>
                      </w:r>
                      <w:r>
                        <w:rPr>
                          <w:rFonts w:eastAsiaTheme="majorEastAsia" w:cs="Segoe UI"/>
                          <w:color w:val="ADD2D7" w:themeColor="accent1"/>
                          <w:sz w:val="32"/>
                          <w:szCs w:val="32"/>
                        </w:rPr>
                        <w:t>water pump b</w:t>
                      </w:r>
                      <w:r w:rsidRPr="006A5E47">
                        <w:rPr>
                          <w:rFonts w:eastAsiaTheme="majorEastAsia" w:cs="Segoe UI"/>
                          <w:color w:val="ADD2D7" w:themeColor="accent1"/>
                          <w:sz w:val="32"/>
                          <w:szCs w:val="32"/>
                        </w:rPr>
                        <w:t>usiness in Niger</w:t>
                      </w:r>
                    </w:p>
                    <w:p w14:paraId="22CA1A27" w14:textId="77777777" w:rsidR="00BB3453" w:rsidRPr="006A5E47" w:rsidRDefault="00BB3453" w:rsidP="00BB2DAB">
                      <w:pPr>
                        <w:spacing w:after="100"/>
                        <w:rPr>
                          <w:rFonts w:cs="Segoe UI"/>
                          <w:b/>
                          <w:color w:val="366092" w:themeColor="text2"/>
                          <w:sz w:val="20"/>
                          <w:szCs w:val="20"/>
                        </w:rPr>
                      </w:pPr>
                      <w:r w:rsidRPr="006A5E47">
                        <w:rPr>
                          <w:rFonts w:cs="Segoe UI"/>
                          <w:b/>
                          <w:color w:val="366092" w:themeColor="text2"/>
                          <w:sz w:val="20"/>
                          <w:szCs w:val="20"/>
                        </w:rPr>
                        <w:t>General inputs</w:t>
                      </w:r>
                    </w:p>
                    <w:p w14:paraId="3E5A1625" w14:textId="45809803" w:rsidR="00BB3453" w:rsidRPr="002D61EA" w:rsidRDefault="00BB3453" w:rsidP="006A7E1D">
                      <w:pPr>
                        <w:numPr>
                          <w:ilvl w:val="0"/>
                          <w:numId w:val="16"/>
                        </w:numPr>
                        <w:spacing w:after="90"/>
                        <w:jc w:val="both"/>
                        <w:rPr>
                          <w:rFonts w:cs="Segoe UI"/>
                          <w:color w:val="366092" w:themeColor="text2"/>
                          <w:sz w:val="18"/>
                          <w:szCs w:val="18"/>
                        </w:rPr>
                      </w:pPr>
                      <w:r>
                        <w:rPr>
                          <w:rFonts w:cs="Segoe UI"/>
                          <w:color w:val="366092" w:themeColor="text2"/>
                          <w:sz w:val="18"/>
                          <w:szCs w:val="18"/>
                        </w:rPr>
                        <w:t>Due to the low-income levels in Niger, we only included 2 relatively low cost products into the analysis, one solar pumping kit priced at US $650 and a micro solar pumping kit priced at US $400. While we are not aware of any quality, durable solar pumping kits currently available in the market at a price of US $400, we do know that multiple players are currently developing such a kit.</w:t>
                      </w:r>
                    </w:p>
                    <w:tbl>
                      <w:tblPr>
                        <w:tblStyle w:val="GridTable2"/>
                        <w:tblW w:w="0" w:type="auto"/>
                        <w:jc w:val="center"/>
                        <w:tblCellMar>
                          <w:top w:w="29" w:type="dxa"/>
                          <w:left w:w="144" w:type="dxa"/>
                          <w:bottom w:w="29" w:type="dxa"/>
                          <w:right w:w="144" w:type="dxa"/>
                        </w:tblCellMar>
                        <w:tblLook w:val="04A0" w:firstRow="1" w:lastRow="0" w:firstColumn="1" w:lastColumn="0" w:noHBand="0" w:noVBand="1"/>
                      </w:tblPr>
                      <w:tblGrid>
                        <w:gridCol w:w="2790"/>
                        <w:gridCol w:w="1137"/>
                        <w:gridCol w:w="1137"/>
                        <w:gridCol w:w="1265"/>
                        <w:gridCol w:w="1265"/>
                      </w:tblGrid>
                      <w:tr w:rsidR="00BB3453" w:rsidRPr="00157A16" w14:paraId="5AAD0915" w14:textId="77777777" w:rsidTr="00271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21106A53" w14:textId="77777777" w:rsidR="00BB3453" w:rsidRPr="00157A16" w:rsidRDefault="00BB3453" w:rsidP="00F90513">
                            <w:pPr>
                              <w:rPr>
                                <w:rFonts w:cs="Segoe UI"/>
                                <w:color w:val="366092" w:themeColor="text2"/>
                                <w:sz w:val="16"/>
                                <w:szCs w:val="16"/>
                              </w:rPr>
                            </w:pPr>
                            <w:r w:rsidRPr="00157A16">
                              <w:rPr>
                                <w:rFonts w:cs="Segoe UI"/>
                                <w:color w:val="366092" w:themeColor="text2"/>
                                <w:sz w:val="16"/>
                                <w:szCs w:val="16"/>
                              </w:rPr>
                              <w:t>Product</w:t>
                            </w:r>
                          </w:p>
                        </w:tc>
                        <w:tc>
                          <w:tcPr>
                            <w:tcW w:w="1137" w:type="dxa"/>
                          </w:tcPr>
                          <w:p w14:paraId="0DCBC6A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Price</w:t>
                            </w:r>
                          </w:p>
                          <w:p w14:paraId="5D918A20"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(US $)</w:t>
                            </w:r>
                          </w:p>
                        </w:tc>
                        <w:tc>
                          <w:tcPr>
                            <w:tcW w:w="1137" w:type="dxa"/>
                          </w:tcPr>
                          <w:p w14:paraId="336CDF11"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Lifetime</w:t>
                            </w:r>
                          </w:p>
                          <w:p w14:paraId="72B66929"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in years</w:t>
                            </w:r>
                          </w:p>
                        </w:tc>
                        <w:tc>
                          <w:tcPr>
                            <w:tcW w:w="1265" w:type="dxa"/>
                          </w:tcPr>
                          <w:p w14:paraId="5AED4FDD"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Consumer loans (CL)</w:t>
                            </w:r>
                          </w:p>
                        </w:tc>
                        <w:tc>
                          <w:tcPr>
                            <w:tcW w:w="1265" w:type="dxa"/>
                          </w:tcPr>
                          <w:p w14:paraId="5D1DC8CB" w14:textId="77777777" w:rsidR="00BB3453" w:rsidRPr="00157A16" w:rsidRDefault="00BB3453" w:rsidP="00F90513">
                            <w:pPr>
                              <w:jc w:val="right"/>
                              <w:cnfStyle w:val="100000000000" w:firstRow="1" w:lastRow="0" w:firstColumn="0" w:lastColumn="0" w:oddVBand="0" w:evenVBand="0" w:oddHBand="0" w:evenHBand="0" w:firstRowFirstColumn="0" w:firstRowLastColumn="0" w:lastRowFirstColumn="0" w:lastRowLastColumn="0"/>
                              <w:rPr>
                                <w:rFonts w:cs="Segoe UI"/>
                                <w:color w:val="366092" w:themeColor="text2"/>
                                <w:sz w:val="16"/>
                                <w:szCs w:val="16"/>
                              </w:rPr>
                            </w:pPr>
                            <w:r w:rsidRPr="00157A16">
                              <w:rPr>
                                <w:rFonts w:cs="Segoe UI"/>
                                <w:color w:val="366092" w:themeColor="text2"/>
                                <w:sz w:val="16"/>
                                <w:szCs w:val="16"/>
                              </w:rPr>
                              <w:t xml:space="preserve">CL tender in months </w:t>
                            </w:r>
                          </w:p>
                        </w:tc>
                      </w:tr>
                      <w:tr w:rsidR="00BB3453" w:rsidRPr="00157A16" w14:paraId="5FB3FE78" w14:textId="77777777" w:rsidTr="00271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3B4255B4" w14:textId="77777777" w:rsidR="00BB3453" w:rsidRPr="00157A16" w:rsidRDefault="00BB3453" w:rsidP="00F90513">
                            <w:pPr>
                              <w:spacing w:after="90"/>
                              <w:rPr>
                                <w:rFonts w:cs="Segoe UI"/>
                                <w:b w:val="0"/>
                                <w:color w:val="366092" w:themeColor="text2"/>
                                <w:sz w:val="16"/>
                                <w:szCs w:val="16"/>
                              </w:rPr>
                            </w:pPr>
                            <w:r>
                              <w:rPr>
                                <w:rFonts w:cs="Segoe UI"/>
                                <w:b w:val="0"/>
                                <w:color w:val="366092" w:themeColor="text2"/>
                                <w:sz w:val="16"/>
                                <w:szCs w:val="16"/>
                              </w:rPr>
                              <w:t>Micro solar pumping kit (in dev’t)</w:t>
                            </w:r>
                          </w:p>
                        </w:tc>
                        <w:tc>
                          <w:tcPr>
                            <w:tcW w:w="1137" w:type="dxa"/>
                          </w:tcPr>
                          <w:p w14:paraId="7ADEA384" w14:textId="0AA9918C"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400</w:t>
                            </w:r>
                          </w:p>
                        </w:tc>
                        <w:tc>
                          <w:tcPr>
                            <w:tcW w:w="1137" w:type="dxa"/>
                          </w:tcPr>
                          <w:p w14:paraId="4A3409F2" w14:textId="6D4F9DD2"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w:t>
                            </w:r>
                          </w:p>
                        </w:tc>
                        <w:tc>
                          <w:tcPr>
                            <w:tcW w:w="1265" w:type="dxa"/>
                          </w:tcPr>
                          <w:p w14:paraId="496E60A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Yes</w:t>
                            </w:r>
                          </w:p>
                        </w:tc>
                        <w:tc>
                          <w:tcPr>
                            <w:tcW w:w="1265" w:type="dxa"/>
                          </w:tcPr>
                          <w:p w14:paraId="2A7EDB68" w14:textId="77777777" w:rsidR="00BB3453" w:rsidRPr="00157A16" w:rsidRDefault="00BB3453" w:rsidP="00F90513">
                            <w:pPr>
                              <w:spacing w:after="90"/>
                              <w:jc w:val="right"/>
                              <w:cnfStyle w:val="000000100000" w:firstRow="0" w:lastRow="0" w:firstColumn="0" w:lastColumn="0" w:oddVBand="0" w:evenVBand="0" w:oddHBand="1"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24</w:t>
                            </w:r>
                          </w:p>
                        </w:tc>
                      </w:tr>
                      <w:tr w:rsidR="00BB3453" w:rsidRPr="00157A16" w14:paraId="49B99577" w14:textId="77777777" w:rsidTr="00271AB3">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17362BB2" w14:textId="009F6E8A" w:rsidR="00BB3453" w:rsidRPr="00157A16" w:rsidRDefault="00BB3453" w:rsidP="00F90513">
                            <w:pPr>
                              <w:spacing w:after="90"/>
                              <w:rPr>
                                <w:rFonts w:cs="Segoe UI"/>
                                <w:b w:val="0"/>
                                <w:color w:val="366092" w:themeColor="text2"/>
                                <w:sz w:val="16"/>
                                <w:szCs w:val="16"/>
                              </w:rPr>
                            </w:pPr>
                            <w:r>
                              <w:rPr>
                                <w:rFonts w:cs="Segoe UI"/>
                                <w:b w:val="0"/>
                                <w:color w:val="366092" w:themeColor="text2"/>
                                <w:sz w:val="16"/>
                                <w:szCs w:val="16"/>
                              </w:rPr>
                              <w:t>Small solar pumping kit</w:t>
                            </w:r>
                          </w:p>
                        </w:tc>
                        <w:tc>
                          <w:tcPr>
                            <w:tcW w:w="1137" w:type="dxa"/>
                          </w:tcPr>
                          <w:p w14:paraId="143706EF"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650</w:t>
                            </w:r>
                          </w:p>
                        </w:tc>
                        <w:tc>
                          <w:tcPr>
                            <w:tcW w:w="1137" w:type="dxa"/>
                          </w:tcPr>
                          <w:p w14:paraId="1E11CC4D" w14:textId="360B73B1"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6</w:t>
                            </w:r>
                          </w:p>
                        </w:tc>
                        <w:tc>
                          <w:tcPr>
                            <w:tcW w:w="1265" w:type="dxa"/>
                          </w:tcPr>
                          <w:p w14:paraId="2BD778C5" w14:textId="77777777" w:rsidR="00BB3453" w:rsidRPr="00157A16" w:rsidRDefault="00BB3453" w:rsidP="002D61EA">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Yes</w:t>
                            </w:r>
                          </w:p>
                        </w:tc>
                        <w:tc>
                          <w:tcPr>
                            <w:tcW w:w="1265" w:type="dxa"/>
                          </w:tcPr>
                          <w:p w14:paraId="0440EC65" w14:textId="77777777" w:rsidR="00BB3453" w:rsidRPr="00157A16" w:rsidRDefault="00BB3453" w:rsidP="00F90513">
                            <w:pPr>
                              <w:spacing w:after="90"/>
                              <w:jc w:val="right"/>
                              <w:cnfStyle w:val="000000000000" w:firstRow="0" w:lastRow="0" w:firstColumn="0" w:lastColumn="0" w:oddVBand="0" w:evenVBand="0" w:oddHBand="0" w:evenHBand="0" w:firstRowFirstColumn="0" w:firstRowLastColumn="0" w:lastRowFirstColumn="0" w:lastRowLastColumn="0"/>
                              <w:rPr>
                                <w:rFonts w:cs="Segoe UI"/>
                                <w:color w:val="366092" w:themeColor="text2"/>
                                <w:sz w:val="16"/>
                                <w:szCs w:val="16"/>
                              </w:rPr>
                            </w:pPr>
                            <w:r>
                              <w:rPr>
                                <w:rFonts w:cs="Segoe UI"/>
                                <w:color w:val="366092" w:themeColor="text2"/>
                                <w:sz w:val="16"/>
                                <w:szCs w:val="16"/>
                              </w:rPr>
                              <w:t>24</w:t>
                            </w:r>
                          </w:p>
                        </w:tc>
                      </w:tr>
                    </w:tbl>
                    <w:p w14:paraId="6FA7C79A" w14:textId="77777777" w:rsidR="00BB3453" w:rsidRPr="00157A16" w:rsidRDefault="00BB3453" w:rsidP="00BB2DAB">
                      <w:pPr>
                        <w:spacing w:after="90"/>
                        <w:ind w:left="720"/>
                        <w:rPr>
                          <w:rFonts w:cs="Segoe UI"/>
                          <w:color w:val="366092" w:themeColor="text2"/>
                          <w:sz w:val="20"/>
                          <w:szCs w:val="20"/>
                        </w:rPr>
                      </w:pPr>
                    </w:p>
                    <w:p w14:paraId="12A142D4" w14:textId="7FC918ED" w:rsidR="00BB3453" w:rsidRPr="00A7518B" w:rsidRDefault="00BB3453" w:rsidP="006A7E1D">
                      <w:pPr>
                        <w:numPr>
                          <w:ilvl w:val="0"/>
                          <w:numId w:val="16"/>
                        </w:numPr>
                        <w:spacing w:after="90"/>
                        <w:rPr>
                          <w:rFonts w:cs="Segoe UI"/>
                          <w:color w:val="366092" w:themeColor="text2"/>
                          <w:sz w:val="18"/>
                          <w:szCs w:val="18"/>
                        </w:rPr>
                      </w:pPr>
                      <w:bookmarkStart w:id="205" w:name="_Hlk485667354"/>
                      <w:r w:rsidRPr="00A7518B">
                        <w:rPr>
                          <w:rFonts w:cs="Segoe UI"/>
                          <w:color w:val="366092" w:themeColor="text2"/>
                          <w:sz w:val="18"/>
                          <w:szCs w:val="18"/>
                        </w:rPr>
                        <w:t xml:space="preserve">The price points assume that products are exempt from import duties. </w:t>
                      </w:r>
                    </w:p>
                    <w:bookmarkEnd w:id="205"/>
                    <w:p w14:paraId="4F8D7770"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Distribution via a hub and spoke model leveraging third party store and agent networks; the partner networks are complemented with</w:t>
                      </w:r>
                      <w:r>
                        <w:rPr>
                          <w:rFonts w:cs="Segoe UI"/>
                          <w:color w:val="366092" w:themeColor="text2"/>
                          <w:sz w:val="18"/>
                          <w:szCs w:val="18"/>
                        </w:rPr>
                        <w:t xml:space="preserve"> t</w:t>
                      </w:r>
                      <w:r w:rsidRPr="00157A16">
                        <w:rPr>
                          <w:rFonts w:cs="Segoe UI"/>
                          <w:color w:val="366092" w:themeColor="text2"/>
                          <w:sz w:val="18"/>
                          <w:szCs w:val="18"/>
                        </w:rPr>
                        <w:t xml:space="preserve">echnical after-sales support staff. </w:t>
                      </w:r>
                    </w:p>
                    <w:p w14:paraId="012BD4EA" w14:textId="77777777" w:rsidR="00BB3453" w:rsidRPr="00157A16" w:rsidRDefault="00BB3453" w:rsidP="006A7E1D">
                      <w:pPr>
                        <w:numPr>
                          <w:ilvl w:val="0"/>
                          <w:numId w:val="16"/>
                        </w:numPr>
                        <w:spacing w:after="90"/>
                        <w:rPr>
                          <w:rFonts w:cs="Segoe UI"/>
                          <w:color w:val="366092" w:themeColor="text2"/>
                          <w:sz w:val="18"/>
                          <w:szCs w:val="18"/>
                        </w:rPr>
                      </w:pPr>
                      <w:r w:rsidRPr="00157A16">
                        <w:rPr>
                          <w:rFonts w:cs="Segoe UI"/>
                          <w:color w:val="366092" w:themeColor="text2"/>
                          <w:sz w:val="18"/>
                          <w:szCs w:val="18"/>
                        </w:rPr>
                        <w:t>Stores and agents require in-depth training on business skills, products, and financing options, and then receive sales commissions, for sale (7.5%) and referral (5%) respectively.</w:t>
                      </w:r>
                    </w:p>
                    <w:p w14:paraId="0993C497" w14:textId="77777777" w:rsidR="00BB3453" w:rsidRPr="006A5E47" w:rsidRDefault="00BB3453" w:rsidP="00BB2DAB">
                      <w:pPr>
                        <w:spacing w:after="100"/>
                        <w:rPr>
                          <w:rFonts w:cs="Segoe UI"/>
                          <w:b/>
                          <w:color w:val="366092" w:themeColor="text2"/>
                          <w:sz w:val="20"/>
                          <w:szCs w:val="20"/>
                        </w:rPr>
                      </w:pPr>
                      <w:r>
                        <w:rPr>
                          <w:rFonts w:cs="Segoe UI"/>
                          <w:b/>
                          <w:color w:val="366092" w:themeColor="text2"/>
                          <w:sz w:val="20"/>
                          <w:szCs w:val="20"/>
                        </w:rPr>
                        <w:t>Niger</w:t>
                      </w:r>
                      <w:r w:rsidRPr="006A5E47">
                        <w:rPr>
                          <w:rFonts w:cs="Segoe UI"/>
                          <w:b/>
                          <w:color w:val="366092" w:themeColor="text2"/>
                          <w:sz w:val="20"/>
                          <w:szCs w:val="20"/>
                        </w:rPr>
                        <w:t>-specific inputs</w:t>
                      </w:r>
                    </w:p>
                    <w:p w14:paraId="04E99573" w14:textId="77777777" w:rsidR="00BB3453" w:rsidRDefault="00BB3453" w:rsidP="006A7E1D">
                      <w:pPr>
                        <w:numPr>
                          <w:ilvl w:val="0"/>
                          <w:numId w:val="17"/>
                        </w:numPr>
                        <w:spacing w:after="90"/>
                        <w:rPr>
                          <w:rFonts w:cs="Segoe UI"/>
                          <w:color w:val="366092" w:themeColor="text2"/>
                          <w:sz w:val="18"/>
                          <w:szCs w:val="18"/>
                        </w:rPr>
                      </w:pPr>
                      <w:r w:rsidRPr="00157A16">
                        <w:rPr>
                          <w:rFonts w:cs="Segoe UI"/>
                          <w:color w:val="366092" w:themeColor="text2"/>
                          <w:sz w:val="18"/>
                          <w:szCs w:val="18"/>
                        </w:rPr>
                        <w:t>Relative to countries with easier access to international markets (e.g. non-landlocked), contribution margins are around 5-10 % lower reflecting higher inbound transportation costs</w:t>
                      </w:r>
                      <w:r>
                        <w:rPr>
                          <w:rFonts w:cs="Segoe UI"/>
                          <w:color w:val="366092" w:themeColor="text2"/>
                          <w:sz w:val="18"/>
                          <w:szCs w:val="18"/>
                        </w:rPr>
                        <w:t xml:space="preserve">. </w:t>
                      </w:r>
                    </w:p>
                    <w:p w14:paraId="10170B6C" w14:textId="77777777" w:rsidR="00BB3453" w:rsidRPr="00045F4B" w:rsidRDefault="00BB3453" w:rsidP="006A7E1D">
                      <w:pPr>
                        <w:numPr>
                          <w:ilvl w:val="0"/>
                          <w:numId w:val="17"/>
                        </w:numPr>
                        <w:spacing w:after="90"/>
                        <w:rPr>
                          <w:rFonts w:cs="Segoe UI"/>
                          <w:color w:val="366092" w:themeColor="text2"/>
                          <w:sz w:val="18"/>
                          <w:szCs w:val="18"/>
                        </w:rPr>
                      </w:pPr>
                      <w:r>
                        <w:rPr>
                          <w:rFonts w:cs="Segoe UI"/>
                          <w:color w:val="366092" w:themeColor="text2"/>
                          <w:sz w:val="18"/>
                          <w:szCs w:val="18"/>
                        </w:rPr>
                        <w:t>Inventory holding time assumed to be 120 days driven by l</w:t>
                      </w:r>
                      <w:r w:rsidRPr="00157A16">
                        <w:rPr>
                          <w:rFonts w:cs="Segoe UI"/>
                          <w:color w:val="366092" w:themeColor="text2"/>
                          <w:sz w:val="18"/>
                          <w:szCs w:val="18"/>
                        </w:rPr>
                        <w:t xml:space="preserve">ong </w:t>
                      </w:r>
                      <w:r>
                        <w:rPr>
                          <w:rFonts w:cs="Segoe UI"/>
                          <w:color w:val="366092" w:themeColor="text2"/>
                          <w:sz w:val="18"/>
                          <w:szCs w:val="18"/>
                        </w:rPr>
                        <w:t xml:space="preserve">delivery times for sourcing from abroad and </w:t>
                      </w:r>
                      <w:r w:rsidRPr="00157A16">
                        <w:rPr>
                          <w:rFonts w:cs="Segoe UI"/>
                          <w:color w:val="366092" w:themeColor="text2"/>
                          <w:sz w:val="18"/>
                          <w:szCs w:val="18"/>
                        </w:rPr>
                        <w:t xml:space="preserve">transfer of ownership </w:t>
                      </w:r>
                      <w:r>
                        <w:rPr>
                          <w:rFonts w:cs="Segoe UI"/>
                          <w:color w:val="366092" w:themeColor="text2"/>
                          <w:sz w:val="18"/>
                          <w:szCs w:val="18"/>
                        </w:rPr>
                        <w:t xml:space="preserve">(and full payment) </w:t>
                      </w:r>
                      <w:r w:rsidRPr="00157A16">
                        <w:rPr>
                          <w:rFonts w:cs="Segoe UI"/>
                          <w:color w:val="366092" w:themeColor="text2"/>
                          <w:sz w:val="18"/>
                          <w:szCs w:val="18"/>
                        </w:rPr>
                        <w:t>prior to shipment</w:t>
                      </w:r>
                      <w:r>
                        <w:rPr>
                          <w:rFonts w:cs="Segoe UI"/>
                          <w:color w:val="366092" w:themeColor="text2"/>
                          <w:sz w:val="18"/>
                          <w:szCs w:val="18"/>
                        </w:rPr>
                        <w:t>.</w:t>
                      </w:r>
                    </w:p>
                  </w:txbxContent>
                </v:textbox>
                <w10:anchorlock/>
              </v:rect>
            </w:pict>
          </mc:Fallback>
        </mc:AlternateContent>
      </w:r>
    </w:p>
    <w:p w14:paraId="4781096D" w14:textId="3A9514A4" w:rsidR="00BB2DAB" w:rsidRDefault="009E3E6F" w:rsidP="00EE70AE">
      <w:pPr>
        <w:spacing w:before="120"/>
        <w:jc w:val="both"/>
        <w:rPr>
          <w:rFonts w:cs="Segoe UI"/>
        </w:rPr>
      </w:pPr>
      <w:r>
        <w:rPr>
          <w:rFonts w:cs="Segoe UI"/>
        </w:rPr>
        <w:t>We estimate the total number of smallholder farmers with productive agricultural operations on irrigated land at a</w:t>
      </w:r>
      <w:r w:rsidR="00576828">
        <w:rPr>
          <w:rFonts w:cs="Segoe UI"/>
        </w:rPr>
        <w:t>round 50</w:t>
      </w:r>
      <w:r>
        <w:rPr>
          <w:rFonts w:cs="Segoe UI"/>
        </w:rPr>
        <w:t>0,000. The modeling presented throughout this chapter, and the funding requirements for interventions, are all based on the target to reach 20% of these smallholder farmers, so around 100,000 in total, ov</w:t>
      </w:r>
      <w:r w:rsidR="00ED568A">
        <w:rPr>
          <w:rFonts w:cs="Segoe UI"/>
        </w:rPr>
        <w:t>er the 5-year projection period, under consideration of the annualized sales volume potential as determined in the demand-side analysis.</w:t>
      </w:r>
    </w:p>
    <w:p w14:paraId="3C536454" w14:textId="177C0F17" w:rsidR="00BB2DAB" w:rsidRDefault="00BB2DAB" w:rsidP="00BB2DAB">
      <w:pPr>
        <w:jc w:val="both"/>
        <w:rPr>
          <w:rFonts w:cs="Segoe UI"/>
        </w:rPr>
      </w:pPr>
      <w:r>
        <w:rPr>
          <w:rFonts w:cs="Segoe UI"/>
        </w:rPr>
        <w:lastRenderedPageBreak/>
        <w:t xml:space="preserve">Based on our projections, a private sector distributor would require over 4 years to break even with sales units growing from around </w:t>
      </w:r>
      <w:r w:rsidR="005767C0">
        <w:rPr>
          <w:rFonts w:cs="Segoe UI"/>
        </w:rPr>
        <w:t>1,7</w:t>
      </w:r>
      <w:r w:rsidR="00F41957">
        <w:rPr>
          <w:rFonts w:cs="Segoe UI"/>
        </w:rPr>
        <w:t>00</w:t>
      </w:r>
      <w:r w:rsidR="005767C0">
        <w:rPr>
          <w:rFonts w:cs="Segoe UI"/>
        </w:rPr>
        <w:t xml:space="preserve"> in year 1 to nearly</w:t>
      </w:r>
      <w:r w:rsidR="00F41957">
        <w:rPr>
          <w:rFonts w:cs="Segoe UI"/>
        </w:rPr>
        <w:t xml:space="preserve"> 5</w:t>
      </w:r>
      <w:r>
        <w:rPr>
          <w:rFonts w:cs="Segoe UI"/>
        </w:rPr>
        <w:t>0,000 in year 5. This translates i</w:t>
      </w:r>
      <w:r w:rsidR="005767C0">
        <w:rPr>
          <w:rFonts w:cs="Segoe UI"/>
        </w:rPr>
        <w:t>nto revenues growing from US $770,000 to US $23</w:t>
      </w:r>
      <w:r>
        <w:rPr>
          <w:rFonts w:cs="Segoe UI"/>
        </w:rPr>
        <w:t xml:space="preserve"> million over the same period; see</w:t>
      </w:r>
      <w:r w:rsidR="00953FBA">
        <w:rPr>
          <w:rFonts w:cs="Segoe UI"/>
        </w:rPr>
        <w:t xml:space="preserve"> </w:t>
      </w:r>
      <w:r w:rsidR="00953FBA">
        <w:rPr>
          <w:rFonts w:cs="Segoe UI"/>
        </w:rPr>
        <w:fldChar w:fldCharType="begin"/>
      </w:r>
      <w:r w:rsidR="00953FBA">
        <w:rPr>
          <w:rFonts w:cs="Segoe UI"/>
        </w:rPr>
        <w:instrText xml:space="preserve"> REF _Ref477425755 \h </w:instrText>
      </w:r>
      <w:r w:rsidR="00953FBA">
        <w:rPr>
          <w:rFonts w:cs="Segoe UI"/>
        </w:rPr>
      </w:r>
      <w:r w:rsidR="00953FBA">
        <w:rPr>
          <w:rFonts w:cs="Segoe UI"/>
        </w:rPr>
        <w:fldChar w:fldCharType="separate"/>
      </w:r>
      <w:r w:rsidR="000D1C35">
        <w:t xml:space="preserve">Table </w:t>
      </w:r>
      <w:r w:rsidR="000D1C35">
        <w:rPr>
          <w:noProof/>
        </w:rPr>
        <w:t>39</w:t>
      </w:r>
      <w:r w:rsidR="00953FBA">
        <w:rPr>
          <w:rFonts w:cs="Segoe UI"/>
        </w:rPr>
        <w:fldChar w:fldCharType="end"/>
      </w:r>
      <w:r w:rsidR="005767C0">
        <w:rPr>
          <w:rFonts w:cs="Segoe UI"/>
        </w:rPr>
        <w:t xml:space="preserve"> </w:t>
      </w:r>
      <w:r>
        <w:rPr>
          <w:rFonts w:cs="Segoe UI"/>
        </w:rPr>
        <w:t>.</w:t>
      </w:r>
    </w:p>
    <w:p w14:paraId="5F884826" w14:textId="3CE00451" w:rsidR="00953FBA" w:rsidRDefault="00953FBA" w:rsidP="00953FBA">
      <w:pPr>
        <w:pStyle w:val="Caption"/>
        <w:jc w:val="both"/>
      </w:pPr>
      <w:bookmarkStart w:id="206" w:name="_Ref477425755"/>
      <w:bookmarkStart w:id="207" w:name="_Toc500969403"/>
      <w:r>
        <w:t xml:space="preserve">Table </w:t>
      </w:r>
      <w:fldSimple w:instr=" SEQ Table \* ARABIC ">
        <w:r w:rsidR="000D1C35">
          <w:rPr>
            <w:noProof/>
          </w:rPr>
          <w:t>39</w:t>
        </w:r>
      </w:fldSimple>
      <w:bookmarkEnd w:id="206"/>
      <w:r>
        <w:t>: Financial and impact performance projections for solar water pump distributor</w:t>
      </w:r>
      <w:bookmarkEnd w:id="207"/>
    </w:p>
    <w:p w14:paraId="42BEBA52" w14:textId="12F94DCD" w:rsidR="00BB2DAB" w:rsidRPr="00C3015E" w:rsidRDefault="006E2432" w:rsidP="00BB2DAB">
      <w:pPr>
        <w:jc w:val="both"/>
        <w:rPr>
          <w:rFonts w:cs="Segoe UI"/>
        </w:rPr>
      </w:pPr>
      <w:r w:rsidRPr="006E2432">
        <w:rPr>
          <w:noProof/>
        </w:rPr>
        <w:drawing>
          <wp:inline distT="0" distB="0" distL="0" distR="0" wp14:anchorId="5B29CD8B" wp14:editId="034ABEB5">
            <wp:extent cx="5943600" cy="1479734"/>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479734"/>
                    </a:xfrm>
                    <a:prstGeom prst="rect">
                      <a:avLst/>
                    </a:prstGeom>
                    <a:noFill/>
                    <a:ln>
                      <a:noFill/>
                    </a:ln>
                  </pic:spPr>
                </pic:pic>
              </a:graphicData>
            </a:graphic>
          </wp:inline>
        </w:drawing>
      </w:r>
    </w:p>
    <w:p w14:paraId="29FEA632" w14:textId="77777777" w:rsidR="00BB2DAB" w:rsidRDefault="00BB2DAB" w:rsidP="00BB2DAB">
      <w:pPr>
        <w:jc w:val="both"/>
        <w:rPr>
          <w:rFonts w:cs="Segoe UI"/>
        </w:rPr>
      </w:pPr>
      <w:r>
        <w:rPr>
          <w:rFonts w:cs="Segoe UI"/>
        </w:rPr>
        <w:t>The projections show that any private sector operations in this sector will, similarly to the household system distributor, require access to considerable amounts of working capital finance, to cover inventory holding periods, and consumer loans (here shown on-balance sheet and therefore include in the cash flow from operations; but more realistically consumer loans would be provided through a MFI-partnership).</w:t>
      </w:r>
    </w:p>
    <w:p w14:paraId="293A8DCE" w14:textId="77777777" w:rsidR="00BB2DAB" w:rsidRDefault="00BB2DAB" w:rsidP="00BB2DAB">
      <w:pPr>
        <w:jc w:val="both"/>
        <w:rPr>
          <w:rFonts w:cs="Segoe UI"/>
        </w:rPr>
      </w:pPr>
      <w:r>
        <w:rPr>
          <w:rFonts w:cs="Segoe UI"/>
        </w:rPr>
        <w:t xml:space="preserve">As accessing this market will be highly challenging, even with market interventions, we recommend aligning interventions for this market with the interventions made in the household systems market, and servicing them from the same funds. </w:t>
      </w:r>
    </w:p>
    <w:p w14:paraId="465ECFCF" w14:textId="15A043B2" w:rsidR="00BB2DAB" w:rsidRDefault="00BB2DAB" w:rsidP="00BB2DAB">
      <w:pPr>
        <w:jc w:val="both"/>
        <w:rPr>
          <w:rFonts w:cs="Segoe UI"/>
        </w:rPr>
      </w:pPr>
      <w:r>
        <w:rPr>
          <w:rFonts w:cs="Segoe UI"/>
        </w:rPr>
        <w:t xml:space="preserve">An inventory financing facility will be required, so that banks can access a concessionary credit line for finance to provide solar water pump kits distributors with loans. As shown in </w:t>
      </w:r>
      <w:r w:rsidR="00DB4EBB">
        <w:fldChar w:fldCharType="begin"/>
      </w:r>
      <w:r w:rsidR="00DB4EBB">
        <w:rPr>
          <w:rFonts w:cs="Segoe UI"/>
        </w:rPr>
        <w:instrText xml:space="preserve"> REF _Ref477426405 \h </w:instrText>
      </w:r>
      <w:r w:rsidR="00DB4EBB">
        <w:fldChar w:fldCharType="separate"/>
      </w:r>
      <w:r w:rsidR="000D1C35">
        <w:t xml:space="preserve">Table </w:t>
      </w:r>
      <w:r w:rsidR="000D1C35">
        <w:rPr>
          <w:noProof/>
        </w:rPr>
        <w:t>40</w:t>
      </w:r>
      <w:r w:rsidR="00DB4EBB">
        <w:fldChar w:fldCharType="end"/>
      </w:r>
      <w:r>
        <w:rPr>
          <w:rFonts w:cs="Segoe UI"/>
        </w:rPr>
        <w:t xml:space="preserve">, the funding requirement to reach </w:t>
      </w:r>
      <w:r w:rsidR="00DB4EBB">
        <w:rPr>
          <w:rFonts w:cs="Segoe UI"/>
        </w:rPr>
        <w:t>around 100,000</w:t>
      </w:r>
      <w:r>
        <w:rPr>
          <w:rFonts w:cs="Segoe UI"/>
        </w:rPr>
        <w:t xml:space="preserve"> farmers ove</w:t>
      </w:r>
      <w:r w:rsidR="00E96D2C">
        <w:rPr>
          <w:rFonts w:cs="Segoe UI"/>
        </w:rPr>
        <w:t>r 5 years increases from US $</w:t>
      </w:r>
      <w:r w:rsidR="00DB4EBB">
        <w:rPr>
          <w:rFonts w:cs="Segoe UI"/>
        </w:rPr>
        <w:t>109,000 in year 1 to US $4.7</w:t>
      </w:r>
      <w:r>
        <w:rPr>
          <w:rFonts w:cs="Segoe UI"/>
        </w:rPr>
        <w:t xml:space="preserve"> million in year 5. If banks also receive a guarantee to cover losses from lending operations, the guaranteed maximum exposu</w:t>
      </w:r>
      <w:r w:rsidR="00E96D2C">
        <w:rPr>
          <w:rFonts w:cs="Segoe UI"/>
        </w:rPr>
        <w:t>re increases from around US $</w:t>
      </w:r>
      <w:r w:rsidR="00DB4EBB">
        <w:rPr>
          <w:rFonts w:cs="Segoe UI"/>
        </w:rPr>
        <w:t>51</w:t>
      </w:r>
      <w:r>
        <w:rPr>
          <w:rFonts w:cs="Segoe UI"/>
        </w:rPr>
        <w:t xml:space="preserve">0,000 in year 1 to </w:t>
      </w:r>
      <w:r w:rsidR="00DB4EBB">
        <w:rPr>
          <w:rFonts w:cs="Segoe UI"/>
        </w:rPr>
        <w:t xml:space="preserve">around </w:t>
      </w:r>
      <w:r>
        <w:rPr>
          <w:rFonts w:cs="Segoe UI"/>
        </w:rPr>
        <w:t>US $</w:t>
      </w:r>
      <w:r w:rsidR="00DB4EBB">
        <w:rPr>
          <w:rFonts w:cs="Segoe UI"/>
        </w:rPr>
        <w:t>3.6</w:t>
      </w:r>
      <w:r>
        <w:rPr>
          <w:rFonts w:cs="Segoe UI"/>
        </w:rPr>
        <w:t xml:space="preserve"> million in year 5; all these figures are based on collateralization rates reducing from 120% to 100%, and loss coverage levels gradually decreasing from 100% in year 1 to 25% in year 5 (as shown in </w:t>
      </w:r>
      <w:r w:rsidR="00075B32">
        <w:fldChar w:fldCharType="begin"/>
      </w:r>
      <w:r w:rsidR="00075B32">
        <w:rPr>
          <w:rFonts w:cs="Segoe UI"/>
        </w:rPr>
        <w:instrText xml:space="preserve"> REF _Ref477426405 \h </w:instrText>
      </w:r>
      <w:r w:rsidR="00075B32">
        <w:fldChar w:fldCharType="separate"/>
      </w:r>
      <w:r w:rsidR="000D1C35">
        <w:t xml:space="preserve">Table </w:t>
      </w:r>
      <w:r w:rsidR="000D1C35">
        <w:rPr>
          <w:noProof/>
        </w:rPr>
        <w:t>40</w:t>
      </w:r>
      <w:r w:rsidR="00075B32">
        <w:fldChar w:fldCharType="end"/>
      </w:r>
      <w:r>
        <w:rPr>
          <w:rFonts w:cs="Segoe UI"/>
        </w:rPr>
        <w:t>).</w:t>
      </w:r>
    </w:p>
    <w:p w14:paraId="6CE3FF3D" w14:textId="52924ABA" w:rsidR="004E6E9F" w:rsidRDefault="004E6E9F" w:rsidP="004E6E9F">
      <w:pPr>
        <w:pStyle w:val="Caption"/>
      </w:pPr>
      <w:bookmarkStart w:id="208" w:name="_Ref477426405"/>
      <w:bookmarkStart w:id="209" w:name="_Toc500969404"/>
      <w:r>
        <w:t xml:space="preserve">Table </w:t>
      </w:r>
      <w:fldSimple w:instr=" SEQ Table \* ARABIC ">
        <w:r w:rsidR="000D1C35">
          <w:rPr>
            <w:noProof/>
          </w:rPr>
          <w:t>40</w:t>
        </w:r>
      </w:fldSimple>
      <w:bookmarkEnd w:id="208"/>
      <w:r>
        <w:t>: Solar pumping kits - Inventory financing facility and guarantee funding requirements</w:t>
      </w:r>
      <w:bookmarkEnd w:id="209"/>
    </w:p>
    <w:p w14:paraId="2B8D1021" w14:textId="70D88283" w:rsidR="00BB2DAB" w:rsidRDefault="00DB4EBB" w:rsidP="00BB2DAB">
      <w:pPr>
        <w:jc w:val="both"/>
        <w:rPr>
          <w:rFonts w:cs="Segoe UI"/>
        </w:rPr>
      </w:pPr>
      <w:r w:rsidRPr="00DB4EBB">
        <w:rPr>
          <w:noProof/>
        </w:rPr>
        <w:drawing>
          <wp:inline distT="0" distB="0" distL="0" distR="0" wp14:anchorId="216342FB" wp14:editId="780896F1">
            <wp:extent cx="5943600" cy="22547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254707"/>
                    </a:xfrm>
                    <a:prstGeom prst="rect">
                      <a:avLst/>
                    </a:prstGeom>
                    <a:noFill/>
                    <a:ln>
                      <a:noFill/>
                    </a:ln>
                  </pic:spPr>
                </pic:pic>
              </a:graphicData>
            </a:graphic>
          </wp:inline>
        </w:drawing>
      </w:r>
    </w:p>
    <w:p w14:paraId="5DB08054" w14:textId="3881CDAE" w:rsidR="00BB2DAB" w:rsidRPr="007C12CB" w:rsidRDefault="00BB2DAB" w:rsidP="00BB2DAB">
      <w:pPr>
        <w:jc w:val="both"/>
        <w:rPr>
          <w:rFonts w:cs="Segoe UI"/>
        </w:rPr>
      </w:pPr>
      <w:r>
        <w:rPr>
          <w:rFonts w:cs="Segoe UI"/>
        </w:rPr>
        <w:lastRenderedPageBreak/>
        <w:t xml:space="preserve">Additionally, local banks or MFIs will need to provide financing to the farmers to purchase solar pumping kits. </w:t>
      </w:r>
      <w:r w:rsidR="00E96D2C">
        <w:fldChar w:fldCharType="begin"/>
      </w:r>
      <w:r w:rsidR="00E96D2C">
        <w:rPr>
          <w:rFonts w:cs="Segoe UI"/>
        </w:rPr>
        <w:instrText xml:space="preserve"> REF _Ref477426543 \h </w:instrText>
      </w:r>
      <w:r w:rsidR="00E96D2C">
        <w:fldChar w:fldCharType="separate"/>
      </w:r>
      <w:r w:rsidR="000D1C35">
        <w:t xml:space="preserve">Table </w:t>
      </w:r>
      <w:r w:rsidR="000D1C35">
        <w:rPr>
          <w:noProof/>
        </w:rPr>
        <w:t>41</w:t>
      </w:r>
      <w:r w:rsidR="00E96D2C">
        <w:fldChar w:fldCharType="end"/>
      </w:r>
      <w:r>
        <w:rPr>
          <w:rFonts w:cs="Segoe UI"/>
        </w:rPr>
        <w:t xml:space="preserve"> shows that funding requirements for the credit line, based on the advance rate</w:t>
      </w:r>
      <w:r w:rsidR="00E96D2C">
        <w:rPr>
          <w:rFonts w:cs="Segoe UI"/>
        </w:rPr>
        <w:t>s assumed, increase from US $410,000 in year 1 to around US $15.4</w:t>
      </w:r>
      <w:r>
        <w:rPr>
          <w:rFonts w:cs="Segoe UI"/>
        </w:rPr>
        <w:t xml:space="preserve"> million in year 5.</w:t>
      </w:r>
    </w:p>
    <w:p w14:paraId="12290658" w14:textId="523BC38B" w:rsidR="00D2008A" w:rsidRDefault="00D2008A" w:rsidP="00D2008A">
      <w:pPr>
        <w:pStyle w:val="Caption"/>
        <w:jc w:val="both"/>
      </w:pPr>
      <w:bookmarkStart w:id="210" w:name="_Ref477426543"/>
      <w:bookmarkStart w:id="211" w:name="_Toc500969405"/>
      <w:r>
        <w:t xml:space="preserve">Table </w:t>
      </w:r>
      <w:fldSimple w:instr=" SEQ Table \* ARABIC ">
        <w:r w:rsidR="000D1C35">
          <w:rPr>
            <w:noProof/>
          </w:rPr>
          <w:t>41</w:t>
        </w:r>
      </w:fldSimple>
      <w:bookmarkEnd w:id="210"/>
      <w:r>
        <w:t>: Solar pumping kits – Consumer finance loan facility and guarantee funding requirements</w:t>
      </w:r>
      <w:bookmarkEnd w:id="211"/>
    </w:p>
    <w:p w14:paraId="18C49C75" w14:textId="0C4B7213" w:rsidR="00BB2DAB" w:rsidRDefault="00E96D2C" w:rsidP="00BB2DAB">
      <w:pPr>
        <w:jc w:val="both"/>
        <w:rPr>
          <w:rFonts w:cs="Segoe UI"/>
        </w:rPr>
      </w:pPr>
      <w:r w:rsidRPr="00E96D2C">
        <w:rPr>
          <w:noProof/>
        </w:rPr>
        <w:drawing>
          <wp:inline distT="0" distB="0" distL="0" distR="0" wp14:anchorId="30FD6998" wp14:editId="5B73C9D6">
            <wp:extent cx="5943600" cy="315107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151073"/>
                    </a:xfrm>
                    <a:prstGeom prst="rect">
                      <a:avLst/>
                    </a:prstGeom>
                    <a:noFill/>
                    <a:ln>
                      <a:noFill/>
                    </a:ln>
                  </pic:spPr>
                </pic:pic>
              </a:graphicData>
            </a:graphic>
          </wp:inline>
        </w:drawing>
      </w:r>
    </w:p>
    <w:p w14:paraId="49B2EC53" w14:textId="745FAD42" w:rsidR="00BB2DAB" w:rsidRDefault="00BB2DAB" w:rsidP="00BB2DAB">
      <w:pPr>
        <w:jc w:val="both"/>
        <w:rPr>
          <w:rFonts w:cs="Segoe UI"/>
        </w:rPr>
      </w:pPr>
      <w:r>
        <w:rPr>
          <w:rFonts w:cs="Segoe UI"/>
        </w:rPr>
        <w:t>The maximum exposure of the credit guarante</w:t>
      </w:r>
      <w:r w:rsidR="007D2ADF">
        <w:rPr>
          <w:rFonts w:cs="Segoe UI"/>
        </w:rPr>
        <w:t>e scheme increases from US $ 390,000 in year 1 to US $4.3</w:t>
      </w:r>
      <w:r>
        <w:rPr>
          <w:rFonts w:cs="Segoe UI"/>
        </w:rPr>
        <w:t xml:space="preserve"> million in year 5; assuming 25% of the loans become irrecoverable, the total expected loss coverage over the 5-year perio</w:t>
      </w:r>
      <w:r w:rsidR="007D2ADF">
        <w:rPr>
          <w:rFonts w:cs="Segoe UI"/>
        </w:rPr>
        <w:t>d amounts to approximately US $2.3</w:t>
      </w:r>
      <w:r>
        <w:rPr>
          <w:rFonts w:cs="Segoe UI"/>
        </w:rPr>
        <w:t xml:space="preserve"> million.</w:t>
      </w:r>
    </w:p>
    <w:p w14:paraId="70C3BF21" w14:textId="4411FB86" w:rsidR="00AE0FC6" w:rsidRDefault="00BB2DAB" w:rsidP="00277B1A">
      <w:pPr>
        <w:jc w:val="both"/>
        <w:rPr>
          <w:rFonts w:cs="Segoe UI"/>
        </w:rPr>
      </w:pPr>
      <w:r>
        <w:rPr>
          <w:rFonts w:cs="Segoe UI"/>
        </w:rPr>
        <w:t>Besides providing working capital financing to companies, and consumer loans to smallholder farmers, we believe upfront grant financing will be required to incentivize private sector investment in this highly challenging, and not very large market.</w:t>
      </w:r>
    </w:p>
    <w:p w14:paraId="6028A80A" w14:textId="068BED03" w:rsidR="00AC1F5B" w:rsidRDefault="00AC1F5B">
      <w:pPr>
        <w:rPr>
          <w:rFonts w:cs="Segoe UI"/>
        </w:rPr>
      </w:pPr>
      <w:r>
        <w:rPr>
          <w:rFonts w:cs="Segoe UI"/>
        </w:rPr>
        <w:br w:type="page"/>
      </w:r>
    </w:p>
    <w:p w14:paraId="7A1F4A9F" w14:textId="269DC690" w:rsidR="00C46088" w:rsidRPr="00583EF3" w:rsidRDefault="007344E0" w:rsidP="008544A8">
      <w:pPr>
        <w:pStyle w:val="H1NEWreportStyle"/>
        <w:numPr>
          <w:ilvl w:val="0"/>
          <w:numId w:val="0"/>
        </w:numPr>
        <w:ind w:left="576" w:hanging="576"/>
        <w:rPr>
          <w:color w:val="ED9D21" w:themeColor="accent6"/>
        </w:rPr>
      </w:pPr>
      <w:bookmarkStart w:id="212" w:name="_Toc501097053"/>
      <w:r w:rsidRPr="00583EF3">
        <w:rPr>
          <w:color w:val="ED9D21" w:themeColor="accent6"/>
        </w:rPr>
        <w:lastRenderedPageBreak/>
        <w:t>Appendi</w:t>
      </w:r>
      <w:r w:rsidR="00A42461" w:rsidRPr="00583EF3">
        <w:rPr>
          <w:color w:val="ED9D21" w:themeColor="accent6"/>
        </w:rPr>
        <w:t>ces</w:t>
      </w:r>
      <w:bookmarkEnd w:id="212"/>
    </w:p>
    <w:p w14:paraId="092FEC65" w14:textId="3D753EBA" w:rsidR="00A42461" w:rsidRPr="00A42461" w:rsidRDefault="00A42461" w:rsidP="00A42461">
      <w:pPr>
        <w:pStyle w:val="H1NEWreportStyle"/>
        <w:numPr>
          <w:ilvl w:val="0"/>
          <w:numId w:val="0"/>
        </w:numPr>
        <w:ind w:left="576" w:hanging="576"/>
        <w:rPr>
          <w:sz w:val="26"/>
          <w:szCs w:val="26"/>
        </w:rPr>
      </w:pPr>
      <w:bookmarkStart w:id="213" w:name="_Toc501097054"/>
      <w:r w:rsidRPr="00A42461">
        <w:rPr>
          <w:sz w:val="26"/>
          <w:szCs w:val="26"/>
        </w:rPr>
        <w:t>App. A: Assessment of the opportunity for grid extension and mini-grids</w:t>
      </w:r>
      <w:bookmarkEnd w:id="213"/>
    </w:p>
    <w:p w14:paraId="0E8C8F06" w14:textId="16ECC575" w:rsidR="00A42461" w:rsidRDefault="00A42461" w:rsidP="00A42461">
      <w:pPr>
        <w:jc w:val="both"/>
        <w:rPr>
          <w:rFonts w:cs="Segoe UI"/>
        </w:rPr>
      </w:pPr>
      <w:bookmarkStart w:id="214" w:name="_Hlk493583341"/>
      <w:r>
        <w:rPr>
          <w:rFonts w:cs="Segoe UI"/>
        </w:rPr>
        <w:t>Our focus throughout the report has been on assessing the market opportunity for stand-alone solar microsystems, that provide for the energy needs of for example one household, o</w:t>
      </w:r>
      <w:r w:rsidR="00A66F4D">
        <w:rPr>
          <w:rFonts w:cs="Segoe UI"/>
        </w:rPr>
        <w:t>ne clinic, or one farm. In this appendix</w:t>
      </w:r>
      <w:r>
        <w:rPr>
          <w:rFonts w:cs="Segoe UI"/>
        </w:rPr>
        <w:t>, we want to discuss in further detail the opportunity of reaching locations with high demand density through grid extension or construction of mini-grids</w:t>
      </w:r>
      <w:r w:rsidR="00583EF3">
        <w:rPr>
          <w:rFonts w:cs="Segoe UI"/>
        </w:rPr>
        <w:t>.</w:t>
      </w:r>
      <w:r>
        <w:rPr>
          <w:rStyle w:val="FootnoteReference"/>
          <w:rFonts w:cs="Segoe UI"/>
        </w:rPr>
        <w:footnoteReference w:id="82"/>
      </w:r>
      <w:bookmarkEnd w:id="214"/>
      <w:r>
        <w:rPr>
          <w:rFonts w:cs="Segoe UI"/>
        </w:rPr>
        <w:t xml:space="preserve">  </w:t>
      </w:r>
    </w:p>
    <w:p w14:paraId="415792BA" w14:textId="34B04789" w:rsidR="00A42461" w:rsidRPr="00955049" w:rsidRDefault="00A42461" w:rsidP="00A42461">
      <w:pPr>
        <w:pStyle w:val="H2NEWreportStyle"/>
        <w:numPr>
          <w:ilvl w:val="0"/>
          <w:numId w:val="0"/>
        </w:numPr>
        <w:ind w:left="936" w:hanging="792"/>
      </w:pPr>
      <w:bookmarkStart w:id="215" w:name="_Toc501097055"/>
      <w:r>
        <w:t xml:space="preserve">A.1 </w:t>
      </w:r>
      <w:r w:rsidRPr="00955049">
        <w:t>Assessment of the opportunity to extend the grid</w:t>
      </w:r>
      <w:bookmarkEnd w:id="215"/>
    </w:p>
    <w:p w14:paraId="57A4B03A" w14:textId="77777777" w:rsidR="00A42461" w:rsidRDefault="00A42461" w:rsidP="00A42461">
      <w:pPr>
        <w:jc w:val="both"/>
        <w:rPr>
          <w:rFonts w:cs="Segoe UI"/>
        </w:rPr>
      </w:pPr>
      <w:r>
        <w:rPr>
          <w:rFonts w:cs="Segoe UI"/>
        </w:rPr>
        <w:t>Extending the grid is typically considered the best, and maybe only feasible, long-term solution to providing universal, nationwide electricity access. But grid extension – together with the required electricity production to serve the increasing number of grid connections – is very costly, and often slow to implement. Low rural income levels often translate into lacking viability of grid extension, as low willingness-to-pay for grid connections results in excessively long amortization periods. Therefore, grid extension efforts should prioritize reaching areas of high energy demand first, and then gradually expand to lower demand areas.</w:t>
      </w:r>
    </w:p>
    <w:p w14:paraId="640985EC" w14:textId="64B87303" w:rsidR="00A42461" w:rsidRDefault="00A42461" w:rsidP="00A42461">
      <w:pPr>
        <w:jc w:val="both"/>
        <w:rPr>
          <w:rFonts w:cs="Segoe UI"/>
        </w:rPr>
      </w:pPr>
      <w:r>
        <w:rPr>
          <w:rFonts w:cs="Segoe UI"/>
        </w:rPr>
        <w:fldChar w:fldCharType="begin"/>
      </w:r>
      <w:r>
        <w:rPr>
          <w:rFonts w:cs="Segoe UI"/>
        </w:rPr>
        <w:instrText xml:space="preserve"> REF _Ref477503247 \h </w:instrText>
      </w:r>
      <w:r>
        <w:rPr>
          <w:rFonts w:cs="Segoe UI"/>
        </w:rPr>
      </w:r>
      <w:r>
        <w:rPr>
          <w:rFonts w:cs="Segoe UI"/>
        </w:rPr>
        <w:fldChar w:fldCharType="separate"/>
      </w:r>
      <w:r w:rsidR="000D1C35">
        <w:t xml:space="preserve">Table </w:t>
      </w:r>
      <w:r w:rsidR="000D1C35">
        <w:rPr>
          <w:noProof/>
        </w:rPr>
        <w:t>42</w:t>
      </w:r>
      <w:r>
        <w:rPr>
          <w:rFonts w:cs="Segoe UI"/>
        </w:rPr>
        <w:fldChar w:fldCharType="end"/>
      </w:r>
      <w:r>
        <w:rPr>
          <w:rFonts w:cs="Segoe UI"/>
        </w:rPr>
        <w:t xml:space="preserve"> gives an overview of the distribution of the Nigerien population, and shows the percentage of the population living in different </w:t>
      </w:r>
      <w:r w:rsidR="00DC4202">
        <w:rPr>
          <w:rFonts w:cs="Segoe UI"/>
        </w:rPr>
        <w:t xml:space="preserve">locality </w:t>
      </w:r>
      <w:r>
        <w:rPr>
          <w:rFonts w:cs="Segoe UI"/>
          <w:lang w:val="en-GB"/>
        </w:rPr>
        <w:t>(sub-divisions of Communes)</w:t>
      </w:r>
      <w:r>
        <w:rPr>
          <w:rFonts w:cs="Segoe UI"/>
        </w:rPr>
        <w:t xml:space="preserve"> sizes. We see that around 27% of the Nigerien population live in </w:t>
      </w:r>
      <w:r w:rsidR="00DC4202">
        <w:rPr>
          <w:rFonts w:cs="Segoe UI"/>
        </w:rPr>
        <w:t xml:space="preserve">localities </w:t>
      </w:r>
      <w:r>
        <w:rPr>
          <w:rFonts w:cs="Segoe UI"/>
        </w:rPr>
        <w:t xml:space="preserve">with a population of less than 500 people, and around 42% in </w:t>
      </w:r>
      <w:r w:rsidR="00DC4202">
        <w:rPr>
          <w:rFonts w:cs="Segoe UI"/>
        </w:rPr>
        <w:t xml:space="preserve">localities </w:t>
      </w:r>
      <w:r>
        <w:rPr>
          <w:rFonts w:cs="Segoe UI"/>
        </w:rPr>
        <w:t xml:space="preserve">with a population size ranging from 501 to 2,000 people. In contrast, only 8.4% of the population live in </w:t>
      </w:r>
      <w:r w:rsidR="00DC4202">
        <w:rPr>
          <w:rFonts w:cs="Segoe UI"/>
        </w:rPr>
        <w:t>localities</w:t>
      </w:r>
      <w:r>
        <w:rPr>
          <w:rFonts w:cs="Segoe UI"/>
        </w:rPr>
        <w:t xml:space="preserve"> with a population size greater 10,000. While </w:t>
      </w:r>
      <w:r w:rsidR="00DC4202">
        <w:rPr>
          <w:rFonts w:cs="Segoe UI"/>
        </w:rPr>
        <w:t xml:space="preserve">localities </w:t>
      </w:r>
      <w:r>
        <w:rPr>
          <w:rFonts w:cs="Segoe UI"/>
        </w:rPr>
        <w:t xml:space="preserve">are quite diverse in land surface area, this provides an indication of the opportunity for grid extension and mini-grids. While the more dense areas are typically best served by the grid, a large share of the population lives in </w:t>
      </w:r>
      <w:r w:rsidR="00DC4202">
        <w:rPr>
          <w:rFonts w:cs="Segoe UI"/>
        </w:rPr>
        <w:t xml:space="preserve">localities </w:t>
      </w:r>
      <w:r>
        <w:rPr>
          <w:rFonts w:cs="Segoe UI"/>
        </w:rPr>
        <w:t>with relatively low population sizes.</w:t>
      </w:r>
    </w:p>
    <w:p w14:paraId="5C639B4E" w14:textId="78FDED35" w:rsidR="00A42461" w:rsidRDefault="00A42461" w:rsidP="00A42461">
      <w:pPr>
        <w:pStyle w:val="Caption"/>
        <w:jc w:val="both"/>
      </w:pPr>
      <w:bookmarkStart w:id="216" w:name="_Ref477503247"/>
      <w:bookmarkStart w:id="217" w:name="_Toc500969406"/>
      <w:r>
        <w:t xml:space="preserve">Table </w:t>
      </w:r>
      <w:fldSimple w:instr=" SEQ Table \* ARABIC ">
        <w:r w:rsidR="000D1C35">
          <w:rPr>
            <w:noProof/>
          </w:rPr>
          <w:t>42</w:t>
        </w:r>
      </w:fldSimple>
      <w:bookmarkEnd w:id="216"/>
      <w:r>
        <w:t>: Nigerien localities by population size</w:t>
      </w:r>
      <w:r>
        <w:rPr>
          <w:rStyle w:val="FootnoteReference"/>
        </w:rPr>
        <w:footnoteReference w:id="83"/>
      </w:r>
      <w:bookmarkEnd w:id="217"/>
    </w:p>
    <w:p w14:paraId="7449E0BD" w14:textId="77777777" w:rsidR="00A42461" w:rsidRDefault="00A42461" w:rsidP="00A42461">
      <w:pPr>
        <w:jc w:val="both"/>
        <w:rPr>
          <w:rFonts w:cs="Segoe UI"/>
        </w:rPr>
      </w:pPr>
      <w:r w:rsidRPr="00EA7C9C">
        <w:rPr>
          <w:noProof/>
        </w:rPr>
        <w:drawing>
          <wp:inline distT="0" distB="0" distL="0" distR="0" wp14:anchorId="6612FBA8" wp14:editId="014D5725">
            <wp:extent cx="4700016" cy="557784"/>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0016" cy="557784"/>
                    </a:xfrm>
                    <a:prstGeom prst="rect">
                      <a:avLst/>
                    </a:prstGeom>
                    <a:noFill/>
                    <a:ln>
                      <a:noFill/>
                    </a:ln>
                  </pic:spPr>
                </pic:pic>
              </a:graphicData>
            </a:graphic>
          </wp:inline>
        </w:drawing>
      </w:r>
    </w:p>
    <w:p w14:paraId="513FB7F5" w14:textId="21CCF9D0" w:rsidR="00A42461" w:rsidRDefault="00A42461" w:rsidP="00A42461">
      <w:pPr>
        <w:jc w:val="both"/>
        <w:rPr>
          <w:rFonts w:cs="Segoe UI"/>
          <w:lang w:val="en-GB"/>
        </w:rPr>
      </w:pPr>
      <w:r>
        <w:rPr>
          <w:rFonts w:cs="Segoe UI"/>
        </w:rPr>
        <w:t xml:space="preserve">Next, </w:t>
      </w:r>
      <w:r>
        <w:rPr>
          <w:rFonts w:cs="Segoe UI"/>
          <w:lang w:val="en-GB"/>
        </w:rPr>
        <w:t>we attempt to estimate i) which</w:t>
      </w:r>
      <w:r w:rsidR="00DC4202">
        <w:rPr>
          <w:rFonts w:cs="Segoe UI"/>
          <w:lang w:val="en-GB"/>
        </w:rPr>
        <w:t xml:space="preserve"> v</w:t>
      </w:r>
      <w:r>
        <w:rPr>
          <w:rFonts w:cs="Segoe UI"/>
          <w:lang w:val="en-GB"/>
        </w:rPr>
        <w:t>illages (</w:t>
      </w:r>
      <w:r w:rsidR="00DC4202">
        <w:rPr>
          <w:rFonts w:cs="Segoe UI"/>
          <w:lang w:val="en-GB"/>
        </w:rPr>
        <w:t>or localities</w:t>
      </w:r>
      <w:r>
        <w:rPr>
          <w:rFonts w:cs="Segoe UI"/>
          <w:lang w:val="en-GB"/>
        </w:rPr>
        <w:t xml:space="preserve">) are within close proximity to the grid or are already grid connected; ii) the population size in those villages close to the grid; and iii) the theoretical cost of extending the grid to these populations.   </w:t>
      </w:r>
    </w:p>
    <w:p w14:paraId="1481113E" w14:textId="77777777" w:rsidR="00A42461" w:rsidRDefault="00A42461" w:rsidP="00A42461">
      <w:pPr>
        <w:jc w:val="both"/>
        <w:rPr>
          <w:rFonts w:cs="Segoe UI"/>
          <w:lang w:val="en-GB"/>
        </w:rPr>
      </w:pPr>
      <w:r>
        <w:rPr>
          <w:rFonts w:cs="Segoe UI"/>
          <w:lang w:val="en-GB"/>
        </w:rPr>
        <w:lastRenderedPageBreak/>
        <w:t>As precise geographic data on national grid location was unavailable at this time of writing, we instead use the following methodology:</w:t>
      </w:r>
    </w:p>
    <w:p w14:paraId="367F25D4" w14:textId="44DE8578" w:rsidR="00A42461" w:rsidRDefault="00A42461" w:rsidP="00A42461">
      <w:pPr>
        <w:pStyle w:val="ListParagraph"/>
        <w:numPr>
          <w:ilvl w:val="0"/>
          <w:numId w:val="7"/>
        </w:numPr>
        <w:spacing w:before="120" w:after="120"/>
        <w:contextualSpacing w:val="0"/>
        <w:jc w:val="both"/>
        <w:rPr>
          <w:rFonts w:cs="Segoe UI"/>
          <w:lang w:val="en-GB"/>
        </w:rPr>
      </w:pPr>
      <w:r>
        <w:rPr>
          <w:rFonts w:cs="Segoe UI"/>
          <w:lang w:val="en-GB"/>
        </w:rPr>
        <w:t xml:space="preserve">Our analysis is based on the list of NIGELEC’s sales by region to identify the areas that are already served by the grid and/or the centres isolés; the list contains a mix of </w:t>
      </w:r>
      <w:r w:rsidR="00DC4202">
        <w:rPr>
          <w:rFonts w:cs="Segoe UI"/>
          <w:lang w:val="en-GB"/>
        </w:rPr>
        <w:t>locality</w:t>
      </w:r>
      <w:r>
        <w:rPr>
          <w:rFonts w:cs="Segoe UI"/>
          <w:lang w:val="en-GB"/>
        </w:rPr>
        <w:t xml:space="preserve">- and </w:t>
      </w:r>
      <w:r w:rsidR="00DC4202">
        <w:rPr>
          <w:rFonts w:cs="Segoe UI"/>
          <w:lang w:val="en-GB"/>
        </w:rPr>
        <w:t>c</w:t>
      </w:r>
      <w:r>
        <w:rPr>
          <w:rFonts w:cs="Segoe UI"/>
          <w:lang w:val="en-GB"/>
        </w:rPr>
        <w:t xml:space="preserve">ommune-level data. We use this list to identify ‘points of electricity delivery’. </w:t>
      </w:r>
    </w:p>
    <w:p w14:paraId="46DB1998" w14:textId="2A5E3D0D" w:rsidR="00A42461" w:rsidRDefault="00A42461" w:rsidP="00A42461">
      <w:pPr>
        <w:pStyle w:val="ListParagraph"/>
        <w:numPr>
          <w:ilvl w:val="0"/>
          <w:numId w:val="7"/>
        </w:numPr>
        <w:spacing w:before="120" w:after="120"/>
        <w:contextualSpacing w:val="0"/>
        <w:jc w:val="both"/>
        <w:rPr>
          <w:rFonts w:cs="Segoe UI"/>
          <w:lang w:val="en-GB"/>
        </w:rPr>
      </w:pPr>
      <w:r>
        <w:rPr>
          <w:rFonts w:cs="Segoe UI"/>
          <w:lang w:val="en-GB"/>
        </w:rPr>
        <w:t xml:space="preserve">For </w:t>
      </w:r>
      <w:r w:rsidR="00DC4202">
        <w:rPr>
          <w:rFonts w:cs="Segoe UI"/>
          <w:lang w:val="en-GB"/>
        </w:rPr>
        <w:t>localities</w:t>
      </w:r>
      <w:r>
        <w:rPr>
          <w:rFonts w:cs="Segoe UI"/>
          <w:lang w:val="en-GB"/>
        </w:rPr>
        <w:t xml:space="preserve">, as available, we use GIS data (the latitude and longitude of the </w:t>
      </w:r>
      <w:r w:rsidR="00DC4202">
        <w:rPr>
          <w:rFonts w:cs="Segoe UI"/>
          <w:lang w:val="en-GB"/>
        </w:rPr>
        <w:t>locality</w:t>
      </w:r>
      <w:r>
        <w:rPr>
          <w:rFonts w:cs="Segoe UI"/>
          <w:lang w:val="en-GB"/>
        </w:rPr>
        <w:t xml:space="preserve">). For </w:t>
      </w:r>
      <w:r w:rsidR="00DC4202">
        <w:rPr>
          <w:rFonts w:cs="Segoe UI"/>
          <w:lang w:val="en-GB"/>
        </w:rPr>
        <w:t>c</w:t>
      </w:r>
      <w:r>
        <w:rPr>
          <w:rFonts w:cs="Segoe UI"/>
          <w:lang w:val="en-GB"/>
        </w:rPr>
        <w:t xml:space="preserve">ommunes, on the other hand, we calculate the population-weighted average geographic centre (average latitude and average longitude); this implicit assumption that the grid is most likely passing through the highest populated areas within the Commune is used in absence of precise and complete, </w:t>
      </w:r>
      <w:r w:rsidR="00DC4202">
        <w:rPr>
          <w:rFonts w:cs="Segoe UI"/>
          <w:lang w:val="en-GB"/>
        </w:rPr>
        <w:t>locality</w:t>
      </w:r>
      <w:r>
        <w:rPr>
          <w:rFonts w:cs="Segoe UI"/>
          <w:lang w:val="en-GB"/>
        </w:rPr>
        <w:t>-level sales data.</w:t>
      </w:r>
    </w:p>
    <w:p w14:paraId="5E71C56B" w14:textId="728E3577" w:rsidR="00A42461" w:rsidRDefault="00A42461" w:rsidP="00A42461">
      <w:pPr>
        <w:pStyle w:val="ListParagraph"/>
        <w:numPr>
          <w:ilvl w:val="0"/>
          <w:numId w:val="7"/>
        </w:numPr>
        <w:spacing w:before="120" w:after="120"/>
        <w:contextualSpacing w:val="0"/>
        <w:jc w:val="both"/>
        <w:rPr>
          <w:rFonts w:cs="Segoe UI"/>
          <w:lang w:val="en-GB"/>
        </w:rPr>
      </w:pPr>
      <w:r>
        <w:rPr>
          <w:rFonts w:cs="Segoe UI"/>
          <w:lang w:val="en-GB"/>
        </w:rPr>
        <w:t xml:space="preserve">Then we determine which </w:t>
      </w:r>
      <w:r w:rsidR="00DC4202">
        <w:rPr>
          <w:rFonts w:cs="Segoe UI"/>
          <w:lang w:val="en-GB"/>
        </w:rPr>
        <w:t>localities</w:t>
      </w:r>
      <w:r>
        <w:rPr>
          <w:rFonts w:cs="Segoe UI"/>
          <w:lang w:val="en-GB"/>
        </w:rPr>
        <w:t xml:space="preserve"> are within a certain radius of these ‘points of electricity delivery’ (say 5km), and calculate the average distance from the points to each </w:t>
      </w:r>
      <w:r w:rsidR="00DC4202">
        <w:rPr>
          <w:rFonts w:cs="Segoe UI"/>
          <w:lang w:val="en-GB"/>
        </w:rPr>
        <w:t>locality</w:t>
      </w:r>
    </w:p>
    <w:p w14:paraId="4DAF749C" w14:textId="13C15C29" w:rsidR="00A42461" w:rsidRPr="00BA2002" w:rsidRDefault="00A42461" w:rsidP="00A42461">
      <w:pPr>
        <w:pStyle w:val="ListParagraph"/>
        <w:numPr>
          <w:ilvl w:val="0"/>
          <w:numId w:val="7"/>
        </w:numPr>
        <w:spacing w:before="120" w:after="120"/>
        <w:contextualSpacing w:val="0"/>
        <w:jc w:val="both"/>
        <w:rPr>
          <w:rFonts w:cs="Segoe UI"/>
          <w:lang w:val="en-GB"/>
        </w:rPr>
      </w:pPr>
      <w:r w:rsidRPr="00BA2002">
        <w:rPr>
          <w:rFonts w:cs="Segoe UI"/>
          <w:lang w:val="en-GB"/>
        </w:rPr>
        <w:t xml:space="preserve">For these </w:t>
      </w:r>
      <w:r w:rsidR="00DC4202">
        <w:rPr>
          <w:rFonts w:cs="Segoe UI"/>
          <w:lang w:val="en-GB"/>
        </w:rPr>
        <w:t>localities</w:t>
      </w:r>
      <w:r w:rsidRPr="00BA2002">
        <w:rPr>
          <w:rFonts w:cs="Segoe UI"/>
          <w:lang w:val="en-GB"/>
        </w:rPr>
        <w:t xml:space="preserve">, </w:t>
      </w:r>
      <w:r>
        <w:rPr>
          <w:rFonts w:cs="Segoe UI"/>
          <w:lang w:val="en-GB"/>
        </w:rPr>
        <w:t xml:space="preserve">we </w:t>
      </w:r>
      <w:r w:rsidRPr="00BA2002">
        <w:rPr>
          <w:rFonts w:cs="Segoe UI"/>
          <w:lang w:val="en-GB"/>
        </w:rPr>
        <w:t xml:space="preserve">calculate the amount </w:t>
      </w:r>
      <w:r>
        <w:rPr>
          <w:rFonts w:cs="Segoe UI"/>
          <w:lang w:val="en-GB"/>
        </w:rPr>
        <w:t xml:space="preserve">and resultant cost </w:t>
      </w:r>
      <w:r w:rsidRPr="00BA2002">
        <w:rPr>
          <w:rFonts w:cs="Segoe UI"/>
          <w:lang w:val="en-GB"/>
        </w:rPr>
        <w:t>of 33 kV transmission cabling and 20 kV distribution cabling required to connect to the grid</w:t>
      </w:r>
      <w:r>
        <w:rPr>
          <w:rFonts w:cs="Segoe UI"/>
          <w:lang w:val="en-GB"/>
        </w:rPr>
        <w:t>, as well as the connection cost for each household.</w:t>
      </w:r>
      <w:r>
        <w:rPr>
          <w:rStyle w:val="FootnoteReference"/>
          <w:rFonts w:cs="Segoe UI"/>
          <w:lang w:val="en-GB"/>
        </w:rPr>
        <w:footnoteReference w:id="84"/>
      </w:r>
    </w:p>
    <w:p w14:paraId="5F195D3C" w14:textId="4E679733" w:rsidR="00A42461" w:rsidRDefault="00A42461" w:rsidP="00A42461">
      <w:pPr>
        <w:jc w:val="both"/>
        <w:rPr>
          <w:rFonts w:cs="Segoe UI"/>
          <w:lang w:val="en-GB"/>
        </w:rPr>
      </w:pPr>
      <w:r>
        <w:rPr>
          <w:rFonts w:cs="Segoe UI"/>
          <w:lang w:val="en-GB"/>
        </w:rPr>
        <w:fldChar w:fldCharType="begin"/>
      </w:r>
      <w:r>
        <w:rPr>
          <w:rFonts w:cs="Segoe UI"/>
          <w:lang w:val="en-GB"/>
        </w:rPr>
        <w:instrText xml:space="preserve"> REF _Ref469142496 </w:instrText>
      </w:r>
      <w:r>
        <w:rPr>
          <w:rFonts w:cs="Segoe UI"/>
          <w:lang w:val="en-GB"/>
        </w:rPr>
        <w:fldChar w:fldCharType="separate"/>
      </w:r>
      <w:r w:rsidR="000D1C35">
        <w:t xml:space="preserve">Figure </w:t>
      </w:r>
      <w:r w:rsidR="000D1C35">
        <w:rPr>
          <w:noProof/>
        </w:rPr>
        <w:t>25</w:t>
      </w:r>
      <w:r>
        <w:rPr>
          <w:rFonts w:cs="Segoe UI"/>
          <w:lang w:val="en-GB"/>
        </w:rPr>
        <w:fldChar w:fldCharType="end"/>
      </w:r>
      <w:r>
        <w:rPr>
          <w:rFonts w:cs="Segoe UI"/>
          <w:lang w:val="en-GB"/>
        </w:rPr>
        <w:t xml:space="preserve"> below summarizes the distribution of households by distance to the grid arrived at in this manner, and </w:t>
      </w:r>
      <w:r>
        <w:rPr>
          <w:rFonts w:cs="Segoe UI"/>
          <w:lang w:val="en-GB"/>
        </w:rPr>
        <w:fldChar w:fldCharType="begin"/>
      </w:r>
      <w:r>
        <w:rPr>
          <w:rFonts w:cs="Segoe UI"/>
          <w:lang w:val="en-GB"/>
        </w:rPr>
        <w:instrText xml:space="preserve"> REF _Ref469142612 </w:instrText>
      </w:r>
      <w:r>
        <w:rPr>
          <w:rFonts w:cs="Segoe UI"/>
          <w:lang w:val="en-GB"/>
        </w:rPr>
        <w:fldChar w:fldCharType="separate"/>
      </w:r>
      <w:r w:rsidR="000D1C35">
        <w:t xml:space="preserve">Figure </w:t>
      </w:r>
      <w:r w:rsidR="000D1C35">
        <w:rPr>
          <w:noProof/>
        </w:rPr>
        <w:t>26</w:t>
      </w:r>
      <w:r>
        <w:rPr>
          <w:rFonts w:cs="Segoe UI"/>
          <w:lang w:val="en-GB"/>
        </w:rPr>
        <w:fldChar w:fldCharType="end"/>
      </w:r>
      <w:r>
        <w:rPr>
          <w:rFonts w:cs="Segoe UI"/>
          <w:lang w:val="en-GB"/>
        </w:rPr>
        <w:t xml:space="preserve"> presents the same results displayed geographically on a map of Niger.</w:t>
      </w:r>
      <w:r>
        <w:rPr>
          <w:rStyle w:val="FootnoteReference"/>
          <w:rFonts w:cs="Segoe UI"/>
          <w:lang w:val="en-GB"/>
        </w:rPr>
        <w:footnoteReference w:id="85"/>
      </w:r>
      <w:r>
        <w:rPr>
          <w:rFonts w:cs="Segoe UI"/>
          <w:lang w:val="en-GB"/>
        </w:rPr>
        <w:t xml:space="preserve"> </w:t>
      </w:r>
    </w:p>
    <w:p w14:paraId="6B1ABB75" w14:textId="68BB21FE" w:rsidR="00A42461" w:rsidRDefault="00A42461" w:rsidP="00A42461">
      <w:pPr>
        <w:pStyle w:val="Caption"/>
      </w:pPr>
      <w:bookmarkStart w:id="218" w:name="_Ref469142496"/>
      <w:bookmarkStart w:id="219" w:name="_Toc500969362"/>
      <w:r>
        <w:t xml:space="preserve">Figure </w:t>
      </w:r>
      <w:fldSimple w:instr=" SEQ Figure \* ARABIC ">
        <w:r w:rsidR="000D1C35">
          <w:rPr>
            <w:noProof/>
          </w:rPr>
          <w:t>25</w:t>
        </w:r>
      </w:fldSimple>
      <w:bookmarkEnd w:id="218"/>
      <w:r>
        <w:t>: Grid reach and expansion potential in number of households</w:t>
      </w:r>
      <w:r>
        <w:rPr>
          <w:rStyle w:val="FootnoteReference"/>
        </w:rPr>
        <w:footnoteReference w:id="86"/>
      </w:r>
      <w:bookmarkEnd w:id="219"/>
    </w:p>
    <w:p w14:paraId="7B967096" w14:textId="77777777" w:rsidR="00A42461" w:rsidRDefault="00A42461" w:rsidP="00A42461">
      <w:pPr>
        <w:jc w:val="both"/>
        <w:rPr>
          <w:rFonts w:cs="Segoe UI"/>
          <w:lang w:val="en-GB"/>
        </w:rPr>
      </w:pPr>
      <w:r>
        <w:rPr>
          <w:rFonts w:cs="Segoe UI"/>
          <w:noProof/>
        </w:rPr>
        <w:drawing>
          <wp:inline distT="0" distB="0" distL="0" distR="0" wp14:anchorId="0F14C444" wp14:editId="2ABA236C">
            <wp:extent cx="5524500" cy="28095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30358" cy="2812525"/>
                    </a:xfrm>
                    <a:prstGeom prst="rect">
                      <a:avLst/>
                    </a:prstGeom>
                    <a:noFill/>
                  </pic:spPr>
                </pic:pic>
              </a:graphicData>
            </a:graphic>
          </wp:inline>
        </w:drawing>
      </w:r>
    </w:p>
    <w:p w14:paraId="556A18B6" w14:textId="77777777" w:rsidR="00A42461" w:rsidRDefault="00A42461" w:rsidP="00A42461">
      <w:pPr>
        <w:jc w:val="both"/>
        <w:rPr>
          <w:rFonts w:cs="Segoe UI"/>
          <w:lang w:val="en-GB"/>
        </w:rPr>
      </w:pPr>
      <w:bookmarkStart w:id="220" w:name="_Hlk493583399"/>
      <w:r>
        <w:rPr>
          <w:rFonts w:cs="Segoe UI"/>
          <w:lang w:val="en-GB"/>
        </w:rPr>
        <w:t xml:space="preserve">We estimate that in addition to the 11% of households currently already on-grid, an additional 33% live within 5km of the grid, and might therefore be well suited for relatively inexpensive grid extension </w:t>
      </w:r>
      <w:r>
        <w:rPr>
          <w:rFonts w:cs="Segoe UI"/>
          <w:lang w:val="en-GB"/>
        </w:rPr>
        <w:lastRenderedPageBreak/>
        <w:t>initiatives in line with NIGELEC’s broad objective to electrify communities within 5km of the current grid. An additional 39% of households are within 5-20km of the grid and may still be accessible, but at increasing costs. Finally, 17% of households are situated over 20km from the grid, and are unlikely to be grid-connected in the near term in the absence of more substantial investment in infrastructure.</w:t>
      </w:r>
    </w:p>
    <w:p w14:paraId="6242DF73" w14:textId="77777777" w:rsidR="00A42461" w:rsidRDefault="00A42461" w:rsidP="00A42461">
      <w:pPr>
        <w:jc w:val="both"/>
        <w:rPr>
          <w:rFonts w:cs="Segoe UI"/>
          <w:lang w:val="en-GB"/>
        </w:rPr>
      </w:pPr>
      <w:r>
        <w:rPr>
          <w:rFonts w:cs="Segoe UI"/>
          <w:lang w:val="en-GB"/>
        </w:rPr>
        <w:t>Given the assumptions above, we estimate total costs of approximately US $1.1 billion to extend grid access to the one million off-grid households within 5km of the grid, or around US $1,100 on average per household. An estimated 460</w:t>
      </w:r>
      <w:r w:rsidRPr="008B21FB">
        <w:rPr>
          <w:rFonts w:cs="Segoe UI"/>
          <w:lang w:val="en-GB"/>
        </w:rPr>
        <w:t>,000 households are situated 5-10km of the grid, and to reach these would require an estimated investment of approximately US $ 1.3 billion (around US $ 2,900 per household). Finally, around 785,000 households are estimated to be between 10-20km of the grid. To reach these would require an estimated investment of US $ 4.7 billion dollars, or around US $ 6,000 per household. These costs only reflect the immediate costs</w:t>
      </w:r>
      <w:r>
        <w:rPr>
          <w:rFonts w:cs="Segoe UI"/>
          <w:lang w:val="en-GB"/>
        </w:rPr>
        <w:t xml:space="preserve"> of grid line extension and household connections, but exclude the cost of producing more energy.  </w:t>
      </w:r>
    </w:p>
    <w:bookmarkEnd w:id="220"/>
    <w:p w14:paraId="3A8316BE" w14:textId="77777777" w:rsidR="00A42461" w:rsidRDefault="00A42461" w:rsidP="00A42461">
      <w:pPr>
        <w:rPr>
          <w:rFonts w:cs="Segoe UI"/>
          <w:lang w:val="en-GB"/>
        </w:rPr>
        <w:sectPr w:rsidR="00A42461" w:rsidSect="00C95D0B">
          <w:pgSz w:w="12240" w:h="15840"/>
          <w:pgMar w:top="1440" w:right="1440" w:bottom="1440" w:left="1440" w:header="720" w:footer="720" w:gutter="0"/>
          <w:cols w:space="720"/>
          <w:titlePg/>
          <w:docGrid w:linePitch="360"/>
        </w:sectPr>
      </w:pPr>
    </w:p>
    <w:p w14:paraId="520C5A4D" w14:textId="448E679A" w:rsidR="00A42461" w:rsidRDefault="00A42461" w:rsidP="00A42461">
      <w:pPr>
        <w:pStyle w:val="Caption"/>
      </w:pPr>
      <w:bookmarkStart w:id="221" w:name="_Ref469142612"/>
      <w:bookmarkStart w:id="222" w:name="_Toc500969363"/>
      <w:r>
        <w:lastRenderedPageBreak/>
        <w:t xml:space="preserve">Figure </w:t>
      </w:r>
      <w:fldSimple w:instr=" SEQ Figure \* ARABIC ">
        <w:r w:rsidR="000D1C35">
          <w:rPr>
            <w:noProof/>
          </w:rPr>
          <w:t>26</w:t>
        </w:r>
      </w:fldSimple>
      <w:bookmarkEnd w:id="221"/>
      <w:r>
        <w:t>: Map of Niger presenting off-grid energy demand by grid proximity</w:t>
      </w:r>
      <w:r>
        <w:rPr>
          <w:rStyle w:val="FootnoteReference"/>
        </w:rPr>
        <w:footnoteReference w:id="87"/>
      </w:r>
      <w:bookmarkEnd w:id="222"/>
    </w:p>
    <w:p w14:paraId="3EF12FAA" w14:textId="77777777" w:rsidR="00A42461" w:rsidRDefault="00A42461" w:rsidP="00A42461">
      <w:pPr>
        <w:rPr>
          <w:rFonts w:cs="Segoe UI"/>
          <w:lang w:val="en-GB"/>
        </w:rPr>
      </w:pPr>
      <w:r>
        <w:rPr>
          <w:rFonts w:cs="Segoe UI"/>
          <w:noProof/>
        </w:rPr>
        <w:drawing>
          <wp:inline distT="0" distB="0" distL="0" distR="0" wp14:anchorId="41EDA67C" wp14:editId="5518C6BD">
            <wp:extent cx="8163125" cy="521017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66075" cy="5212058"/>
                    </a:xfrm>
                    <a:prstGeom prst="rect">
                      <a:avLst/>
                    </a:prstGeom>
                    <a:noFill/>
                  </pic:spPr>
                </pic:pic>
              </a:graphicData>
            </a:graphic>
          </wp:inline>
        </w:drawing>
      </w:r>
      <w:r>
        <w:rPr>
          <w:rFonts w:cs="Segoe UI"/>
          <w:lang w:val="en-GB"/>
        </w:rPr>
        <w:br w:type="page"/>
      </w:r>
    </w:p>
    <w:p w14:paraId="45BE519E" w14:textId="77777777" w:rsidR="00A42461" w:rsidRDefault="00A42461" w:rsidP="00A42461">
      <w:pPr>
        <w:jc w:val="both"/>
        <w:rPr>
          <w:rFonts w:cs="Segoe UI"/>
          <w:lang w:val="en-GB"/>
        </w:rPr>
        <w:sectPr w:rsidR="00A42461" w:rsidSect="00E50990">
          <w:pgSz w:w="15840" w:h="12240" w:orient="landscape"/>
          <w:pgMar w:top="1440" w:right="1440" w:bottom="1440" w:left="1440" w:header="720" w:footer="720" w:gutter="0"/>
          <w:cols w:space="720"/>
          <w:titlePg/>
          <w:docGrid w:linePitch="360"/>
        </w:sectPr>
      </w:pPr>
    </w:p>
    <w:p w14:paraId="314DF177" w14:textId="6A8EC31B" w:rsidR="00A42461" w:rsidRDefault="00A42461" w:rsidP="00A42461">
      <w:pPr>
        <w:pStyle w:val="H2NEWreportStyle"/>
        <w:numPr>
          <w:ilvl w:val="0"/>
          <w:numId w:val="0"/>
        </w:numPr>
        <w:ind w:left="936" w:hanging="792"/>
      </w:pPr>
      <w:bookmarkStart w:id="223" w:name="_Toc501097056"/>
      <w:r>
        <w:lastRenderedPageBreak/>
        <w:t>A.2 Assessment of the opportunity for investment in mini-grids</w:t>
      </w:r>
      <w:bookmarkEnd w:id="223"/>
    </w:p>
    <w:p w14:paraId="16353E9F" w14:textId="77777777" w:rsidR="00A42461" w:rsidRDefault="00A42461" w:rsidP="00A42461">
      <w:pPr>
        <w:jc w:val="both"/>
        <w:rPr>
          <w:rFonts w:cs="Segoe UI"/>
          <w:lang w:val="en-GB"/>
        </w:rPr>
      </w:pPr>
      <w:bookmarkStart w:id="224" w:name="_Hlk493583424"/>
      <w:r>
        <w:rPr>
          <w:rFonts w:cs="Segoe UI"/>
          <w:lang w:val="en-GB"/>
        </w:rPr>
        <w:t xml:space="preserve">Many geographic areas in Niger are unlikely to be reached by the grid in the short- to medium-term, and therefore represent an opportunity to be served with off-grid solutions. While individual microsystems have the potential to positively change the current electricity landscape in Niger, they are unsuited for many commercial applications, are often difficult and costly to distribute, and the upfront investment requirements often limit the affordable energy consumption profile. An additional alternative to individual microsystems are mini-grids; they typically operate on a community scale, and are managed by an independent provider selling energy as a utility service. </w:t>
      </w:r>
    </w:p>
    <w:bookmarkEnd w:id="224"/>
    <w:p w14:paraId="13B00BD1" w14:textId="77777777" w:rsidR="00A42461" w:rsidRDefault="00A42461" w:rsidP="00A42461">
      <w:pPr>
        <w:autoSpaceDE w:val="0"/>
        <w:autoSpaceDN w:val="0"/>
        <w:adjustRightInd w:val="0"/>
        <w:jc w:val="both"/>
        <w:rPr>
          <w:rFonts w:cs="Segoe UI"/>
        </w:rPr>
      </w:pPr>
      <w:r>
        <w:rPr>
          <w:rFonts w:cs="Segoe UI"/>
        </w:rPr>
        <w:t xml:space="preserve">In many countries in Sub-Saharan Africa, regulatory barriers and uncertainty in the regulatory landscape have restrained private sector investment in mini-grids. The two most commonly stated deterrents to private sector investment are (i) that many African countries impose a uniform national electricity tariff lower than the unit per kWh costs of operating a mini-grid, so that in absence of cost-reflective tariffs, mini-grid operations are often not viable; and (ii) the risk to mini-grid operators of national grid expansion. Often very limited information is available on grid expansion plans, and there is uncertainty on how mini-grids would be integrated, or their owners compensated in such an event. </w:t>
      </w:r>
    </w:p>
    <w:p w14:paraId="63C2114A" w14:textId="77777777" w:rsidR="00A42461" w:rsidRDefault="00A42461" w:rsidP="00A42461">
      <w:pPr>
        <w:autoSpaceDE w:val="0"/>
        <w:autoSpaceDN w:val="0"/>
        <w:adjustRightInd w:val="0"/>
        <w:jc w:val="both"/>
        <w:rPr>
          <w:rFonts w:cs="Segoe UI"/>
        </w:rPr>
      </w:pPr>
      <w:r>
        <w:rPr>
          <w:rFonts w:cs="Segoe UI"/>
        </w:rPr>
        <w:t>This often drives mini-grid providers to the most remote areas, as far from the grid as possible. While this reduces the risk of grid reach, these target areas often have lower population densities and less economic activity and are therefore characterized by lower demand levels, and often lacking purchase power. Besides all these external challenges, private sector investment is further curbed by the lack of a proven sustainable business model for mini-grids to serve remote rural populations in developing countries, especially in countries with low population densities.</w:t>
      </w:r>
      <w:r>
        <w:rPr>
          <w:rStyle w:val="FootnoteReference"/>
          <w:rFonts w:cs="Segoe UI"/>
        </w:rPr>
        <w:footnoteReference w:id="88"/>
      </w:r>
      <w:r>
        <w:rPr>
          <w:rFonts w:cs="Segoe UI"/>
        </w:rPr>
        <w:t xml:space="preserve"> </w:t>
      </w:r>
    </w:p>
    <w:p w14:paraId="271E1ED9" w14:textId="77777777" w:rsidR="00A42461" w:rsidRDefault="00A42461" w:rsidP="00A42461">
      <w:pPr>
        <w:jc w:val="both"/>
        <w:rPr>
          <w:rFonts w:cs="Segoe UI"/>
        </w:rPr>
      </w:pPr>
      <w:r>
        <w:rPr>
          <w:rFonts w:cs="Segoe UI"/>
        </w:rPr>
        <w:t xml:space="preserve">Investment requirements in a mini-grid are significant, and amortization periods often long, so a conducive regulatory framework for mini-grid operations is required as basic condition to investing in mini-grids. </w:t>
      </w:r>
    </w:p>
    <w:p w14:paraId="499231F0" w14:textId="1B44ACF3" w:rsidR="00A42461" w:rsidRDefault="00A42461" w:rsidP="00A42461">
      <w:pPr>
        <w:jc w:val="both"/>
        <w:rPr>
          <w:rFonts w:cs="Segoe UI"/>
        </w:rPr>
      </w:pPr>
      <w:r>
        <w:rPr>
          <w:rFonts w:cs="Segoe UI"/>
        </w:rPr>
        <w:t xml:space="preserve">In this </w:t>
      </w:r>
      <w:r w:rsidR="00A66F4D">
        <w:rPr>
          <w:rFonts w:cs="Segoe UI"/>
        </w:rPr>
        <w:t>section</w:t>
      </w:r>
      <w:r>
        <w:rPr>
          <w:rFonts w:cs="Segoe UI"/>
        </w:rPr>
        <w:t>, we (i)</w:t>
      </w:r>
      <w:r w:rsidRPr="00DB0101">
        <w:rPr>
          <w:rFonts w:cs="Segoe UI"/>
        </w:rPr>
        <w:t xml:space="preserve"> </w:t>
      </w:r>
      <w:r>
        <w:rPr>
          <w:rFonts w:cs="Segoe UI"/>
        </w:rPr>
        <w:t xml:space="preserve">explore critical success factors for investment in mini-grids, (ii) the regulatory framework for mini-grids in Niger, (iii) different structures for PPPs for mini-grids, and (iv) perform a location analysis for potential mini-grid sites to best serve a population that is not likely to be reached by the grid in the short to medium term. </w:t>
      </w:r>
    </w:p>
    <w:p w14:paraId="0892AC7E" w14:textId="77777777" w:rsidR="00A42461" w:rsidRDefault="00A42461" w:rsidP="00A42461">
      <w:pPr>
        <w:autoSpaceDE w:val="0"/>
        <w:autoSpaceDN w:val="0"/>
        <w:adjustRightInd w:val="0"/>
        <w:jc w:val="both"/>
        <w:rPr>
          <w:rFonts w:cs="Segoe UI"/>
        </w:rPr>
      </w:pPr>
    </w:p>
    <w:p w14:paraId="7DF00B40" w14:textId="36493655" w:rsidR="00A42461" w:rsidRDefault="00A42461" w:rsidP="00A42461">
      <w:pPr>
        <w:pStyle w:val="H3NEWreportStyle"/>
        <w:numPr>
          <w:ilvl w:val="0"/>
          <w:numId w:val="0"/>
        </w:numPr>
        <w:spacing w:before="360"/>
        <w:ind w:left="1152" w:hanging="864"/>
      </w:pPr>
      <w:bookmarkStart w:id="225" w:name="_Toc501097057"/>
      <w:r>
        <w:lastRenderedPageBreak/>
        <w:t>A.2.1 Critical decision factors for investment in mini-grids</w:t>
      </w:r>
      <w:bookmarkEnd w:id="225"/>
    </w:p>
    <w:p w14:paraId="7CECA044" w14:textId="77777777" w:rsidR="00A42461" w:rsidRPr="00DD282D" w:rsidRDefault="00A42461" w:rsidP="00A42461">
      <w:pPr>
        <w:jc w:val="both"/>
        <w:rPr>
          <w:rFonts w:cs="Segoe UI"/>
        </w:rPr>
      </w:pPr>
      <w:r>
        <w:rPr>
          <w:rFonts w:cs="Segoe UI"/>
        </w:rPr>
        <w:t>Besides pricing at cost-reflective tariffs, and grid expansion plans and their implications, there are many other critical factors that require consideration in assessing the opportunity for mini-grids, including the following:</w:t>
      </w:r>
      <w:r w:rsidRPr="00A869CA">
        <w:rPr>
          <w:rStyle w:val="FootnoteReference"/>
          <w:rFonts w:cs="Segoe UI"/>
        </w:rPr>
        <w:t xml:space="preserve"> </w:t>
      </w:r>
      <w:r>
        <w:rPr>
          <w:rStyle w:val="FootnoteReference"/>
          <w:rFonts w:cs="Segoe UI"/>
        </w:rPr>
        <w:footnoteReference w:id="89"/>
      </w:r>
    </w:p>
    <w:p w14:paraId="1CCD4106" w14:textId="77777777" w:rsidR="00A42461" w:rsidRPr="005B4F59" w:rsidRDefault="00A42461" w:rsidP="001C46F8">
      <w:pPr>
        <w:pStyle w:val="ListParagraph"/>
        <w:numPr>
          <w:ilvl w:val="0"/>
          <w:numId w:val="34"/>
        </w:numPr>
        <w:contextualSpacing w:val="0"/>
        <w:jc w:val="both"/>
        <w:rPr>
          <w:rFonts w:cs="Segoe UI"/>
        </w:rPr>
      </w:pPr>
      <w:r w:rsidRPr="001C6A76">
        <w:rPr>
          <w:rFonts w:cs="Segoe UI"/>
          <w:b/>
        </w:rPr>
        <w:t xml:space="preserve">Market potential and </w:t>
      </w:r>
      <w:r>
        <w:rPr>
          <w:rFonts w:cs="Segoe UI"/>
          <w:b/>
        </w:rPr>
        <w:t xml:space="preserve">business </w:t>
      </w:r>
      <w:r w:rsidRPr="001C6A76">
        <w:rPr>
          <w:rFonts w:cs="Segoe UI"/>
          <w:b/>
        </w:rPr>
        <w:t>viability</w:t>
      </w:r>
      <w:r>
        <w:rPr>
          <w:rFonts w:cs="Segoe UI"/>
          <w:b/>
        </w:rPr>
        <w:t xml:space="preserve">. </w:t>
      </w:r>
      <w:r w:rsidRPr="001C6A76">
        <w:rPr>
          <w:rFonts w:cs="Segoe UI"/>
        </w:rPr>
        <w:t>M</w:t>
      </w:r>
      <w:r w:rsidRPr="005B4F59">
        <w:rPr>
          <w:rFonts w:cs="Segoe UI"/>
        </w:rPr>
        <w:t xml:space="preserve">ini-grid operators must identify sites </w:t>
      </w:r>
      <w:r>
        <w:rPr>
          <w:rFonts w:cs="Segoe UI"/>
        </w:rPr>
        <w:t xml:space="preserve">with sufficient revenue generation potential, considering the differing </w:t>
      </w:r>
      <w:r w:rsidRPr="005B4F59">
        <w:rPr>
          <w:rFonts w:cs="Segoe UI"/>
        </w:rPr>
        <w:t xml:space="preserve">needs </w:t>
      </w:r>
      <w:r>
        <w:rPr>
          <w:rFonts w:cs="Segoe UI"/>
        </w:rPr>
        <w:t xml:space="preserve">of </w:t>
      </w:r>
      <w:r w:rsidRPr="005B4F59">
        <w:rPr>
          <w:rFonts w:cs="Segoe UI"/>
        </w:rPr>
        <w:t>commercial and residential customers</w:t>
      </w:r>
      <w:r>
        <w:rPr>
          <w:rFonts w:cs="Segoe UI"/>
        </w:rPr>
        <w:t>, and assess required base loads and investment needs accordingly.</w:t>
      </w:r>
    </w:p>
    <w:p w14:paraId="09444173" w14:textId="77777777" w:rsidR="00A42461" w:rsidRPr="00993741" w:rsidRDefault="00A42461" w:rsidP="001C46F8">
      <w:pPr>
        <w:pStyle w:val="ListParagraph"/>
        <w:numPr>
          <w:ilvl w:val="0"/>
          <w:numId w:val="34"/>
        </w:numPr>
        <w:contextualSpacing w:val="0"/>
        <w:jc w:val="both"/>
        <w:rPr>
          <w:rFonts w:cs="Segoe UI"/>
        </w:rPr>
      </w:pPr>
      <w:r w:rsidRPr="0041214C">
        <w:rPr>
          <w:rFonts w:cs="Segoe UI"/>
          <w:b/>
        </w:rPr>
        <w:t>Time to break even</w:t>
      </w:r>
      <w:r>
        <w:rPr>
          <w:rFonts w:cs="Segoe UI"/>
        </w:rPr>
        <w:t xml:space="preserve">. </w:t>
      </w:r>
      <w:r w:rsidRPr="005B4F59">
        <w:rPr>
          <w:rFonts w:cs="Segoe UI"/>
        </w:rPr>
        <w:t xml:space="preserve">Mini-grid operators must assess </w:t>
      </w:r>
      <w:r>
        <w:rPr>
          <w:rFonts w:cs="Segoe UI"/>
        </w:rPr>
        <w:t xml:space="preserve">site break even potential and related profitability requirements; </w:t>
      </w:r>
      <w:r w:rsidRPr="005B4F59">
        <w:rPr>
          <w:rFonts w:cs="Segoe UI"/>
        </w:rPr>
        <w:t xml:space="preserve">this will </w:t>
      </w:r>
      <w:r>
        <w:rPr>
          <w:rFonts w:cs="Segoe UI"/>
        </w:rPr>
        <w:t xml:space="preserve">allow them to price tariffs effectively, and will </w:t>
      </w:r>
      <w:r w:rsidRPr="005B4F59">
        <w:rPr>
          <w:rFonts w:cs="Segoe UI"/>
        </w:rPr>
        <w:t xml:space="preserve">significantly impact the </w:t>
      </w:r>
      <w:r w:rsidRPr="00993741">
        <w:rPr>
          <w:rFonts w:cs="Segoe UI"/>
        </w:rPr>
        <w:t>willingness of 3</w:t>
      </w:r>
      <w:r w:rsidRPr="00993741">
        <w:rPr>
          <w:rFonts w:cs="Segoe UI"/>
          <w:vertAlign w:val="superscript"/>
        </w:rPr>
        <w:t>rd</w:t>
      </w:r>
      <w:r w:rsidRPr="00993741">
        <w:rPr>
          <w:rFonts w:cs="Segoe UI"/>
        </w:rPr>
        <w:t xml:space="preserve"> parties to invest in the mini-grids</w:t>
      </w:r>
      <w:r>
        <w:rPr>
          <w:rFonts w:cs="Segoe UI"/>
        </w:rPr>
        <w:t>.</w:t>
      </w:r>
    </w:p>
    <w:p w14:paraId="1A8F8A15" w14:textId="77777777" w:rsidR="00A42461" w:rsidRPr="00993741" w:rsidRDefault="00A42461" w:rsidP="001C46F8">
      <w:pPr>
        <w:pStyle w:val="ListParagraph"/>
        <w:numPr>
          <w:ilvl w:val="0"/>
          <w:numId w:val="34"/>
        </w:numPr>
        <w:contextualSpacing w:val="0"/>
        <w:jc w:val="both"/>
        <w:rPr>
          <w:rFonts w:cs="Segoe UI"/>
        </w:rPr>
      </w:pPr>
      <w:r w:rsidRPr="00011281">
        <w:rPr>
          <w:rFonts w:cs="Segoe UI"/>
          <w:b/>
        </w:rPr>
        <w:t>Finance models and guaranteed off-take with Power Purchase Agreements (PPAs)</w:t>
      </w:r>
      <w:r>
        <w:rPr>
          <w:rFonts w:cs="Segoe UI"/>
        </w:rPr>
        <w:t xml:space="preserve">. Different types of finance, e.g. public subsidies or grant funding, can significantly de-risk the investment; PPAs confirm demand and ensure future cash flows. Grid operators need to understand their key risks, and manage them, </w:t>
      </w:r>
      <w:r w:rsidRPr="00993741">
        <w:rPr>
          <w:rFonts w:cs="Segoe UI"/>
        </w:rPr>
        <w:t>to be able to attract investment</w:t>
      </w:r>
      <w:r>
        <w:rPr>
          <w:rFonts w:cs="Segoe UI"/>
        </w:rPr>
        <w:t>.</w:t>
      </w:r>
      <w:r w:rsidRPr="00993741">
        <w:rPr>
          <w:rStyle w:val="FootnoteReference"/>
          <w:rFonts w:cs="Segoe UI"/>
        </w:rPr>
        <w:footnoteReference w:id="90"/>
      </w:r>
    </w:p>
    <w:p w14:paraId="0FB10F0A" w14:textId="77777777" w:rsidR="00A42461" w:rsidRDefault="00A42461" w:rsidP="00A42461">
      <w:pPr>
        <w:autoSpaceDE w:val="0"/>
        <w:autoSpaceDN w:val="0"/>
        <w:adjustRightInd w:val="0"/>
        <w:jc w:val="both"/>
        <w:rPr>
          <w:rFonts w:cs="Segoe UI"/>
          <w:bCs/>
        </w:rPr>
      </w:pPr>
      <w:r>
        <w:rPr>
          <w:rFonts w:cs="Segoe UI"/>
        </w:rPr>
        <w:t xml:space="preserve">Other key factors that influence the levels of investment in mini-grids surround the regulatory environment and consistency in policy. According to </w:t>
      </w:r>
      <w:r w:rsidRPr="00A41AEA">
        <w:rPr>
          <w:rFonts w:cs="Segoe UI"/>
        </w:rPr>
        <w:t>the Africa-EU Renewable Energy Cooperation Programme</w:t>
      </w:r>
      <w:r>
        <w:rPr>
          <w:rFonts w:cs="Segoe UI"/>
        </w:rPr>
        <w:t>’s</w:t>
      </w:r>
      <w:r w:rsidRPr="00A41AEA">
        <w:rPr>
          <w:rFonts w:cs="Segoe UI"/>
        </w:rPr>
        <w:t xml:space="preserve"> (RECP)</w:t>
      </w:r>
      <w:r>
        <w:rPr>
          <w:rFonts w:cs="Segoe UI"/>
        </w:rPr>
        <w:t xml:space="preserve"> mini-grids toolkit, </w:t>
      </w:r>
      <w:r>
        <w:rPr>
          <w:rFonts w:cs="Segoe UI"/>
          <w:bCs/>
        </w:rPr>
        <w:t>these regulations should be:</w:t>
      </w:r>
      <w:r w:rsidRPr="00A869CA">
        <w:rPr>
          <w:rStyle w:val="FootnoteReference"/>
          <w:rFonts w:cs="Segoe UI"/>
          <w:bCs/>
        </w:rPr>
        <w:t xml:space="preserve"> </w:t>
      </w:r>
      <w:r>
        <w:rPr>
          <w:rStyle w:val="FootnoteReference"/>
          <w:rFonts w:cs="Segoe UI"/>
          <w:bCs/>
        </w:rPr>
        <w:footnoteReference w:id="91"/>
      </w:r>
    </w:p>
    <w:p w14:paraId="169AAA15" w14:textId="77777777" w:rsidR="00A42461" w:rsidRPr="00854230" w:rsidRDefault="00A42461" w:rsidP="001C46F8">
      <w:pPr>
        <w:pStyle w:val="ListParagraph"/>
        <w:numPr>
          <w:ilvl w:val="0"/>
          <w:numId w:val="35"/>
        </w:numPr>
        <w:autoSpaceDE w:val="0"/>
        <w:autoSpaceDN w:val="0"/>
        <w:adjustRightInd w:val="0"/>
        <w:contextualSpacing w:val="0"/>
        <w:jc w:val="both"/>
        <w:rPr>
          <w:rFonts w:cs="Segoe UI"/>
        </w:rPr>
      </w:pPr>
      <w:r w:rsidRPr="00A869CA">
        <w:rPr>
          <w:rFonts w:cs="Segoe UI"/>
          <w:b/>
          <w:bCs/>
        </w:rPr>
        <w:t>Transparent and predictable, clear and comprehensive</w:t>
      </w:r>
      <w:r>
        <w:rPr>
          <w:rFonts w:cs="Segoe UI"/>
          <w:b/>
          <w:bCs/>
        </w:rPr>
        <w:t xml:space="preserve">. </w:t>
      </w:r>
      <w:r>
        <w:rPr>
          <w:rFonts w:cs="Segoe UI"/>
          <w:bCs/>
        </w:rPr>
        <w:t>I</w:t>
      </w:r>
      <w:r w:rsidRPr="00854230">
        <w:rPr>
          <w:rFonts w:cs="Segoe UI"/>
        </w:rPr>
        <w:t>nvestors look for clear and complete regulatory frameworks with full clarity of applicable licenses, permits, requirements, import duties, VAT, company taxes, and other possible incentives and subsidies and a standardized process for regulatory decisions across all transactions. Ambiguity increase</w:t>
      </w:r>
      <w:r>
        <w:rPr>
          <w:rFonts w:cs="Segoe UI"/>
        </w:rPr>
        <w:t>s</w:t>
      </w:r>
      <w:r w:rsidRPr="00854230">
        <w:rPr>
          <w:rFonts w:cs="Segoe UI"/>
        </w:rPr>
        <w:t xml:space="preserve"> uncertainty and</w:t>
      </w:r>
      <w:r>
        <w:rPr>
          <w:rFonts w:cs="Segoe UI"/>
        </w:rPr>
        <w:t xml:space="preserve"> often stands in the way of </w:t>
      </w:r>
      <w:r w:rsidRPr="00854230">
        <w:rPr>
          <w:rFonts w:cs="Segoe UI"/>
        </w:rPr>
        <w:t>investment.</w:t>
      </w:r>
    </w:p>
    <w:p w14:paraId="467BAAFD" w14:textId="77777777" w:rsidR="00A42461" w:rsidRDefault="00A42461" w:rsidP="001C46F8">
      <w:pPr>
        <w:pStyle w:val="ListParagraph"/>
        <w:numPr>
          <w:ilvl w:val="0"/>
          <w:numId w:val="35"/>
        </w:numPr>
        <w:autoSpaceDE w:val="0"/>
        <w:autoSpaceDN w:val="0"/>
        <w:adjustRightInd w:val="0"/>
        <w:contextualSpacing w:val="0"/>
        <w:jc w:val="both"/>
        <w:rPr>
          <w:rFonts w:cs="Segoe UI"/>
        </w:rPr>
      </w:pPr>
      <w:r w:rsidRPr="00D146BB">
        <w:rPr>
          <w:rFonts w:cs="Segoe UI"/>
          <w:b/>
          <w:bCs/>
        </w:rPr>
        <w:t>Accessible</w:t>
      </w:r>
      <w:r>
        <w:rPr>
          <w:rFonts w:cs="Segoe UI"/>
          <w:b/>
          <w:bCs/>
        </w:rPr>
        <w:t xml:space="preserve">. </w:t>
      </w:r>
      <w:r w:rsidRPr="00D146BB">
        <w:rPr>
          <w:rFonts w:cs="Segoe UI"/>
          <w:bCs/>
        </w:rPr>
        <w:t>P</w:t>
      </w:r>
      <w:r w:rsidRPr="00854230">
        <w:rPr>
          <w:rFonts w:cs="Segoe UI"/>
        </w:rPr>
        <w:t>olicy and regulatory frameworks should be accessible, as should the officials or agencies that formulate and support and enforce them.</w:t>
      </w:r>
    </w:p>
    <w:p w14:paraId="115B9111" w14:textId="77777777" w:rsidR="00A42461" w:rsidRPr="00386611" w:rsidRDefault="00A42461" w:rsidP="001C46F8">
      <w:pPr>
        <w:pStyle w:val="ListParagraph"/>
        <w:numPr>
          <w:ilvl w:val="0"/>
          <w:numId w:val="35"/>
        </w:numPr>
        <w:autoSpaceDE w:val="0"/>
        <w:autoSpaceDN w:val="0"/>
        <w:adjustRightInd w:val="0"/>
        <w:contextualSpacing w:val="0"/>
        <w:jc w:val="both"/>
        <w:rPr>
          <w:rFonts w:cs="Segoe UI"/>
        </w:rPr>
      </w:pPr>
      <w:r>
        <w:rPr>
          <w:rFonts w:cs="Segoe UI"/>
          <w:b/>
        </w:rPr>
        <w:t>Implemented through e</w:t>
      </w:r>
      <w:r w:rsidRPr="00DC7346">
        <w:rPr>
          <w:rFonts w:cs="Segoe UI"/>
          <w:b/>
        </w:rPr>
        <w:t>ffective and efficient procedures.</w:t>
      </w:r>
      <w:r>
        <w:rPr>
          <w:rFonts w:cs="Segoe UI"/>
        </w:rPr>
        <w:t xml:space="preserve"> P</w:t>
      </w:r>
      <w:r w:rsidRPr="00854230">
        <w:rPr>
          <w:rFonts w:cs="Segoe UI"/>
        </w:rPr>
        <w:t xml:space="preserve">rocedures in granting licenses and permits, </w:t>
      </w:r>
      <w:r>
        <w:rPr>
          <w:rFonts w:cs="Segoe UI"/>
        </w:rPr>
        <w:t xml:space="preserve">or </w:t>
      </w:r>
      <w:r w:rsidRPr="00854230">
        <w:rPr>
          <w:rFonts w:cs="Segoe UI"/>
        </w:rPr>
        <w:t xml:space="preserve">responding to queries by developers </w:t>
      </w:r>
      <w:r>
        <w:rPr>
          <w:rFonts w:cs="Segoe UI"/>
        </w:rPr>
        <w:t xml:space="preserve">should be fast and transparent. All regulatory decisions should be </w:t>
      </w:r>
      <w:r w:rsidRPr="00854230">
        <w:rPr>
          <w:rFonts w:cs="Segoe UI"/>
        </w:rPr>
        <w:t>transparent, fair, independent of power suppli</w:t>
      </w:r>
      <w:r>
        <w:rPr>
          <w:rFonts w:cs="Segoe UI"/>
        </w:rPr>
        <w:t>ers, technology neutral, and allow</w:t>
      </w:r>
      <w:r w:rsidRPr="00854230">
        <w:rPr>
          <w:rFonts w:cs="Segoe UI"/>
        </w:rPr>
        <w:t xml:space="preserve"> a level playing field for developers</w:t>
      </w:r>
      <w:r>
        <w:rPr>
          <w:rFonts w:cs="Segoe UI"/>
        </w:rPr>
        <w:t xml:space="preserve">, while </w:t>
      </w:r>
      <w:r w:rsidRPr="00854230">
        <w:rPr>
          <w:rFonts w:cs="Segoe UI"/>
        </w:rPr>
        <w:t>prevent</w:t>
      </w:r>
      <w:r>
        <w:rPr>
          <w:rFonts w:cs="Segoe UI"/>
        </w:rPr>
        <w:t>ing</w:t>
      </w:r>
      <w:r w:rsidRPr="00854230">
        <w:rPr>
          <w:rFonts w:cs="Segoe UI"/>
        </w:rPr>
        <w:t xml:space="preserve"> government interference in day-to-day operations.</w:t>
      </w:r>
    </w:p>
    <w:p w14:paraId="00D8F4E6" w14:textId="43533EC3" w:rsidR="00A42461" w:rsidRDefault="00A42461" w:rsidP="00A42461">
      <w:pPr>
        <w:pStyle w:val="H3NEWreportStyle"/>
        <w:numPr>
          <w:ilvl w:val="0"/>
          <w:numId w:val="0"/>
        </w:numPr>
        <w:spacing w:before="360"/>
        <w:ind w:left="1152" w:hanging="864"/>
      </w:pPr>
      <w:bookmarkStart w:id="226" w:name="_Toc501097058"/>
      <w:r>
        <w:lastRenderedPageBreak/>
        <w:t>A.2.2 The regulatory environment for mini-grids in Niger</w:t>
      </w:r>
      <w:bookmarkEnd w:id="226"/>
    </w:p>
    <w:p w14:paraId="1E37C61E" w14:textId="77777777" w:rsidR="00A42461" w:rsidRDefault="00A42461" w:rsidP="00A42461">
      <w:pPr>
        <w:autoSpaceDE w:val="0"/>
        <w:autoSpaceDN w:val="0"/>
        <w:adjustRightInd w:val="0"/>
        <w:jc w:val="both"/>
        <w:rPr>
          <w:rFonts w:cs="Segoe UI"/>
        </w:rPr>
      </w:pPr>
      <w:r>
        <w:rPr>
          <w:rFonts w:cs="Segoe UI"/>
        </w:rPr>
        <w:t xml:space="preserve">Investment requirements in a mini-grid are significant, and amortization periods often long, so a conducive regulatory framework for mini-grid operations is required to make investments attractive. Under consideration of the critical decision factors for mini-grid investments explored in the previous chapter, this chapter explores the regulatory environment for mini-grids in Niger. We </w:t>
      </w:r>
      <w:r w:rsidRPr="00DB0101">
        <w:rPr>
          <w:rFonts w:cs="Segoe UI"/>
        </w:rPr>
        <w:t>assess the regulatory framework in Niger with reference to the World Bank Group’s Regulatory Indicators for Sustainable Energy (RISE)</w:t>
      </w:r>
      <w:r>
        <w:rPr>
          <w:rFonts w:cs="Segoe UI"/>
        </w:rPr>
        <w:t xml:space="preserve">. RISE is “a </w:t>
      </w:r>
      <w:r w:rsidRPr="00DB0101">
        <w:rPr>
          <w:rFonts w:cs="Segoe UI"/>
        </w:rPr>
        <w:t>set of indicators to help compare national policy and regulatory frameworks for sustainable energy. It assesses countries’ policy and regulatory support for each of the thre</w:t>
      </w:r>
      <w:r>
        <w:rPr>
          <w:rFonts w:cs="Segoe UI"/>
        </w:rPr>
        <w:t xml:space="preserve">e pillars of sustainable energy </w:t>
      </w:r>
      <w:r w:rsidRPr="00DB0101">
        <w:rPr>
          <w:rFonts w:cs="Segoe UI"/>
        </w:rPr>
        <w:t>access to modern energy, energy efficiency, and renewable energy</w:t>
      </w:r>
      <w:r>
        <w:rPr>
          <w:rFonts w:cs="Segoe UI"/>
        </w:rPr>
        <w:t>”.</w:t>
      </w:r>
      <w:r w:rsidRPr="00DB0101">
        <w:rPr>
          <w:rStyle w:val="FootnoteReference"/>
          <w:rFonts w:cs="Segoe UI"/>
        </w:rPr>
        <w:footnoteReference w:id="92"/>
      </w:r>
      <w:r>
        <w:rPr>
          <w:rFonts w:cs="Segoe UI"/>
        </w:rPr>
        <w:t xml:space="preserve"> </w:t>
      </w:r>
    </w:p>
    <w:p w14:paraId="5CB826F8" w14:textId="77777777" w:rsidR="00A42461" w:rsidRDefault="00A42461" w:rsidP="00A42461">
      <w:pPr>
        <w:autoSpaceDE w:val="0"/>
        <w:autoSpaceDN w:val="0"/>
        <w:adjustRightInd w:val="0"/>
        <w:jc w:val="both"/>
        <w:rPr>
          <w:rFonts w:cs="Segoe UI"/>
        </w:rPr>
      </w:pPr>
      <w:r>
        <w:rPr>
          <w:rFonts w:cs="Segoe UI"/>
        </w:rPr>
        <w:t>A new electricity code was adopted by the Nigerien National Assembly in May 2016, and one key objective of the amendments is to accelerate the electrification of the country, also by opening up the electricity sector to more private sector investment, both local and foreign. It remains to be seen whether the new code brings sufficient investor confidence to see greater inflows of capital into the market. The regulatory framework for PPP was brought into force by decree of 9 November 2011 based on the ordinance of 16 September 2011, and covers the high-level structures and terms for entering into PPP agreements.</w:t>
      </w:r>
      <w:r>
        <w:rPr>
          <w:rStyle w:val="FootnoteReference"/>
          <w:rFonts w:cs="Segoe UI"/>
        </w:rPr>
        <w:footnoteReference w:id="93"/>
      </w:r>
      <w:r>
        <w:rPr>
          <w:rFonts w:cs="Segoe UI"/>
        </w:rPr>
        <w:t xml:space="preserve"> </w:t>
      </w:r>
    </w:p>
    <w:p w14:paraId="1FBBD4AC" w14:textId="77777777" w:rsidR="00A42461" w:rsidRDefault="00A42461" w:rsidP="00A42461">
      <w:pPr>
        <w:autoSpaceDE w:val="0"/>
        <w:autoSpaceDN w:val="0"/>
        <w:adjustRightInd w:val="0"/>
        <w:jc w:val="both"/>
        <w:rPr>
          <w:rFonts w:cs="Segoe UI"/>
        </w:rPr>
      </w:pPr>
      <w:r>
        <w:rPr>
          <w:rFonts w:cs="Segoe UI"/>
        </w:rPr>
        <w:t>Despite the new electricity code, t</w:t>
      </w:r>
      <w:r w:rsidRPr="00DB0101">
        <w:rPr>
          <w:rFonts w:cs="Segoe UI"/>
        </w:rPr>
        <w:t>he regulatory framework in Niger is still developing</w:t>
      </w:r>
      <w:r>
        <w:rPr>
          <w:rFonts w:cs="Segoe UI"/>
        </w:rPr>
        <w:t xml:space="preserve"> and remains ambiguous; for example, there is no framework that specifically covers the regulation of mini-grids. However, </w:t>
      </w:r>
      <w:r w:rsidRPr="00DB0101">
        <w:rPr>
          <w:rFonts w:cs="Segoe UI"/>
        </w:rPr>
        <w:t>under t</w:t>
      </w:r>
      <w:r>
        <w:rPr>
          <w:rFonts w:cs="Segoe UI"/>
        </w:rPr>
        <w:t xml:space="preserve">he Nigerien government’s priorities to </w:t>
      </w:r>
      <w:r w:rsidRPr="00DB0101">
        <w:rPr>
          <w:rFonts w:cs="Segoe UI"/>
        </w:rPr>
        <w:t>“increase rural electrification, and increase share of power generated through renewable energy”</w:t>
      </w:r>
      <w:r w:rsidRPr="00DB0101">
        <w:rPr>
          <w:rStyle w:val="FootnoteReference"/>
          <w:rFonts w:cs="Segoe UI"/>
        </w:rPr>
        <w:footnoteReference w:id="94"/>
      </w:r>
      <w:r>
        <w:rPr>
          <w:rFonts w:cs="Segoe UI"/>
        </w:rPr>
        <w:t xml:space="preserve"> </w:t>
      </w:r>
      <w:r w:rsidRPr="00DB0101">
        <w:rPr>
          <w:rFonts w:cs="Segoe UI"/>
        </w:rPr>
        <w:t xml:space="preserve">private developers can seek government involvement </w:t>
      </w:r>
      <w:r>
        <w:rPr>
          <w:rFonts w:cs="Segoe UI"/>
        </w:rPr>
        <w:t xml:space="preserve">and diverse support </w:t>
      </w:r>
      <w:r w:rsidRPr="00DB0101">
        <w:rPr>
          <w:rFonts w:cs="Segoe UI"/>
        </w:rPr>
        <w:t xml:space="preserve">for investments to build, own and operate </w:t>
      </w:r>
      <w:r>
        <w:rPr>
          <w:rFonts w:cs="Segoe UI"/>
        </w:rPr>
        <w:t xml:space="preserve">power generation facilities, including mini-grids. </w:t>
      </w:r>
    </w:p>
    <w:p w14:paraId="03DA7ABE" w14:textId="77777777" w:rsidR="00A42461" w:rsidRDefault="00A42461" w:rsidP="00A42461">
      <w:pPr>
        <w:jc w:val="both"/>
        <w:rPr>
          <w:rStyle w:val="ans"/>
          <w:rFonts w:cs="Segoe UI"/>
        </w:rPr>
      </w:pPr>
      <w:r>
        <w:rPr>
          <w:rFonts w:cs="Segoe UI"/>
        </w:rPr>
        <w:t>Though m</w:t>
      </w:r>
      <w:r w:rsidRPr="00D05DEA">
        <w:rPr>
          <w:rFonts w:cs="Segoe UI"/>
        </w:rPr>
        <w:t>ini</w:t>
      </w:r>
      <w:r>
        <w:rPr>
          <w:rFonts w:cs="Segoe UI"/>
        </w:rPr>
        <w:t>-</w:t>
      </w:r>
      <w:r w:rsidRPr="00D05DEA">
        <w:rPr>
          <w:rFonts w:cs="Segoe UI"/>
        </w:rPr>
        <w:t>grids are allowed to operate in Niger</w:t>
      </w:r>
      <w:r w:rsidRPr="00D05DEA">
        <w:rPr>
          <w:rStyle w:val="ans"/>
          <w:rFonts w:cs="Segoe UI"/>
        </w:rPr>
        <w:t>, and can be owned and operate</w:t>
      </w:r>
      <w:r>
        <w:rPr>
          <w:rStyle w:val="ans"/>
          <w:rFonts w:cs="Segoe UI"/>
        </w:rPr>
        <w:t>d by private operators, r</w:t>
      </w:r>
      <w:r w:rsidRPr="00D05DEA">
        <w:rPr>
          <w:rStyle w:val="ans"/>
          <w:rFonts w:cs="Segoe UI"/>
        </w:rPr>
        <w:t>egulations do not specify what happen</w:t>
      </w:r>
      <w:r>
        <w:rPr>
          <w:rStyle w:val="ans"/>
          <w:rFonts w:cs="Segoe UI"/>
        </w:rPr>
        <w:t>s</w:t>
      </w:r>
      <w:r w:rsidRPr="00D05DEA">
        <w:rPr>
          <w:rStyle w:val="ans"/>
          <w:rFonts w:cs="Segoe UI"/>
        </w:rPr>
        <w:t xml:space="preserve"> should the </w:t>
      </w:r>
      <w:r w:rsidRPr="005A37EE">
        <w:rPr>
          <w:rStyle w:val="ans"/>
          <w:rFonts w:cs="Segoe UI"/>
          <w:b/>
        </w:rPr>
        <w:t>national grid reach</w:t>
      </w:r>
      <w:r w:rsidRPr="00D05DEA">
        <w:rPr>
          <w:rStyle w:val="ans"/>
          <w:rFonts w:cs="Segoe UI"/>
        </w:rPr>
        <w:t xml:space="preserve"> the mini-grid</w:t>
      </w:r>
      <w:r>
        <w:rPr>
          <w:rStyle w:val="ans"/>
          <w:rFonts w:cs="Segoe UI"/>
        </w:rPr>
        <w:t>’s</w:t>
      </w:r>
      <w:r w:rsidRPr="00D05DEA">
        <w:rPr>
          <w:rStyle w:val="ans"/>
          <w:rFonts w:cs="Segoe UI"/>
        </w:rPr>
        <w:t xml:space="preserve"> site of operation</w:t>
      </w:r>
      <w:r>
        <w:rPr>
          <w:rStyle w:val="ans"/>
          <w:rFonts w:cs="Segoe UI"/>
        </w:rPr>
        <w:t>; it is unclear whether and how</w:t>
      </w:r>
    </w:p>
    <w:p w14:paraId="6FA37D99" w14:textId="77777777" w:rsidR="00A42461" w:rsidRPr="002F5B4E" w:rsidRDefault="00A42461" w:rsidP="00A42461">
      <w:pPr>
        <w:pStyle w:val="ListParagraph"/>
        <w:numPr>
          <w:ilvl w:val="1"/>
          <w:numId w:val="3"/>
        </w:numPr>
        <w:ind w:left="1170"/>
        <w:jc w:val="both"/>
        <w:rPr>
          <w:rStyle w:val="ans"/>
          <w:rFonts w:cs="Segoe UI"/>
        </w:rPr>
      </w:pPr>
      <w:r w:rsidRPr="002F5B4E">
        <w:rPr>
          <w:rStyle w:val="ans"/>
          <w:rFonts w:cs="Segoe UI"/>
        </w:rPr>
        <w:t>the grids will be integrated,</w:t>
      </w:r>
      <w:r>
        <w:rPr>
          <w:rStyle w:val="ans"/>
          <w:rFonts w:cs="Segoe UI"/>
        </w:rPr>
        <w:t xml:space="preserve"> and how much influence the operator would have in the decision-making process,</w:t>
      </w:r>
    </w:p>
    <w:p w14:paraId="6E1647B9" w14:textId="77777777" w:rsidR="00A42461" w:rsidRDefault="00A42461" w:rsidP="00A42461">
      <w:pPr>
        <w:pStyle w:val="ListParagraph"/>
        <w:numPr>
          <w:ilvl w:val="1"/>
          <w:numId w:val="3"/>
        </w:numPr>
        <w:ind w:left="1170"/>
        <w:jc w:val="both"/>
        <w:rPr>
          <w:rStyle w:val="sub-quest"/>
          <w:rFonts w:cs="Segoe UI"/>
        </w:rPr>
      </w:pPr>
      <w:r>
        <w:rPr>
          <w:rStyle w:val="sub-quest"/>
          <w:rFonts w:cs="Segoe UI"/>
        </w:rPr>
        <w:t>the operator will be allowed to continue providing electricity to its clients,</w:t>
      </w:r>
    </w:p>
    <w:p w14:paraId="67CA68D5" w14:textId="77777777" w:rsidR="00A42461" w:rsidRDefault="00A42461" w:rsidP="00A42461">
      <w:pPr>
        <w:pStyle w:val="ListParagraph"/>
        <w:numPr>
          <w:ilvl w:val="1"/>
          <w:numId w:val="3"/>
        </w:numPr>
        <w:ind w:left="1170"/>
        <w:jc w:val="both"/>
        <w:rPr>
          <w:rStyle w:val="sub-quest"/>
          <w:rFonts w:cs="Segoe UI"/>
        </w:rPr>
      </w:pPr>
      <w:r w:rsidRPr="002F5B4E">
        <w:rPr>
          <w:rStyle w:val="ans"/>
          <w:rFonts w:cs="Segoe UI"/>
        </w:rPr>
        <w:t xml:space="preserve">the </w:t>
      </w:r>
      <w:r>
        <w:rPr>
          <w:rStyle w:val="ans"/>
          <w:rFonts w:cs="Segoe UI"/>
        </w:rPr>
        <w:t>operator</w:t>
      </w:r>
      <w:r w:rsidRPr="002F5B4E">
        <w:rPr>
          <w:rStyle w:val="ans"/>
          <w:rFonts w:cs="Segoe UI"/>
        </w:rPr>
        <w:t xml:space="preserve"> will be</w:t>
      </w:r>
      <w:r>
        <w:rPr>
          <w:rStyle w:val="sub-quest"/>
          <w:rFonts w:cs="Segoe UI"/>
        </w:rPr>
        <w:t xml:space="preserve"> permitted to </w:t>
      </w:r>
      <w:r w:rsidRPr="002F5B4E">
        <w:rPr>
          <w:rStyle w:val="sub-quest"/>
          <w:rFonts w:cs="Segoe UI"/>
        </w:rPr>
        <w:t>sell electricity to the national grid</w:t>
      </w:r>
      <w:r>
        <w:rPr>
          <w:rStyle w:val="sub-quest"/>
          <w:rFonts w:cs="Segoe UI"/>
        </w:rPr>
        <w:t>, and</w:t>
      </w:r>
    </w:p>
    <w:p w14:paraId="5B24B17B" w14:textId="77777777" w:rsidR="00A42461" w:rsidRDefault="00A42461" w:rsidP="00A42461">
      <w:pPr>
        <w:pStyle w:val="ListParagraph"/>
        <w:numPr>
          <w:ilvl w:val="1"/>
          <w:numId w:val="3"/>
        </w:numPr>
        <w:ind w:left="1170"/>
        <w:jc w:val="both"/>
        <w:rPr>
          <w:rStyle w:val="sub-quest"/>
          <w:rFonts w:cs="Segoe UI"/>
        </w:rPr>
      </w:pPr>
      <w:r>
        <w:rPr>
          <w:rStyle w:val="sub-quest"/>
          <w:rFonts w:cs="Segoe UI"/>
        </w:rPr>
        <w:t>the operator would be compensated for lost business, and/or the takeover of assets.</w:t>
      </w:r>
    </w:p>
    <w:p w14:paraId="29B9B06C" w14:textId="77777777" w:rsidR="00A42461" w:rsidRDefault="00A42461" w:rsidP="00A42461">
      <w:pPr>
        <w:jc w:val="both"/>
        <w:rPr>
          <w:rStyle w:val="sub-quest"/>
          <w:rFonts w:cs="Segoe UI"/>
        </w:rPr>
      </w:pPr>
      <w:r w:rsidRPr="00D05DEA">
        <w:rPr>
          <w:rStyle w:val="sub-quest"/>
          <w:rFonts w:cs="Segoe UI"/>
        </w:rPr>
        <w:t xml:space="preserve">In line with best practice, mini-grid </w:t>
      </w:r>
      <w:r>
        <w:rPr>
          <w:rStyle w:val="sub-quest"/>
          <w:rFonts w:cs="Segoe UI"/>
        </w:rPr>
        <w:t xml:space="preserve">operators </w:t>
      </w:r>
      <w:r w:rsidRPr="00D05DEA">
        <w:rPr>
          <w:rStyle w:val="sub-quest"/>
          <w:rFonts w:cs="Segoe UI"/>
        </w:rPr>
        <w:t xml:space="preserve">in Niger are </w:t>
      </w:r>
      <w:r>
        <w:rPr>
          <w:rStyle w:val="sub-quest"/>
          <w:rFonts w:cs="Segoe UI"/>
        </w:rPr>
        <w:t xml:space="preserve">permitted </w:t>
      </w:r>
      <w:r w:rsidRPr="00D05DEA">
        <w:rPr>
          <w:rStyle w:val="sub-quest"/>
          <w:rFonts w:cs="Segoe UI"/>
        </w:rPr>
        <w:t xml:space="preserve">to </w:t>
      </w:r>
      <w:r w:rsidRPr="005A37EE">
        <w:rPr>
          <w:rStyle w:val="sub-quest"/>
          <w:rFonts w:cs="Segoe UI"/>
          <w:b/>
        </w:rPr>
        <w:t>charge</w:t>
      </w:r>
      <w:r>
        <w:rPr>
          <w:rStyle w:val="sub-quest"/>
          <w:rFonts w:cs="Segoe UI"/>
          <w:b/>
        </w:rPr>
        <w:t xml:space="preserve"> cost-reflective</w:t>
      </w:r>
      <w:r w:rsidRPr="005A37EE">
        <w:rPr>
          <w:rStyle w:val="sub-quest"/>
          <w:rFonts w:cs="Segoe UI"/>
          <w:b/>
        </w:rPr>
        <w:t xml:space="preserve"> tariff</w:t>
      </w:r>
      <w:r>
        <w:rPr>
          <w:rStyle w:val="sub-quest"/>
          <w:rFonts w:cs="Segoe UI"/>
          <w:b/>
        </w:rPr>
        <w:t>s</w:t>
      </w:r>
      <w:r>
        <w:rPr>
          <w:rStyle w:val="sub-quest"/>
          <w:rFonts w:cs="Segoe UI"/>
        </w:rPr>
        <w:t xml:space="preserve"> differing f</w:t>
      </w:r>
      <w:r w:rsidRPr="00D05DEA">
        <w:rPr>
          <w:rStyle w:val="sub-quest"/>
          <w:rFonts w:cs="Segoe UI"/>
        </w:rPr>
        <w:t>rom the nation</w:t>
      </w:r>
      <w:r>
        <w:rPr>
          <w:rStyle w:val="sub-quest"/>
          <w:rFonts w:cs="Segoe UI"/>
        </w:rPr>
        <w:t>al tariff. T</w:t>
      </w:r>
      <w:r w:rsidRPr="00D05DEA">
        <w:rPr>
          <w:rStyle w:val="sub-quest"/>
          <w:rFonts w:cs="Segoe UI"/>
        </w:rPr>
        <w:t>here is no retail electricity tariff schedule for mini-grids,</w:t>
      </w:r>
      <w:r>
        <w:rPr>
          <w:rStyle w:val="sub-quest"/>
          <w:rFonts w:cs="Segoe UI"/>
        </w:rPr>
        <w:t xml:space="preserve"> nor</w:t>
      </w:r>
      <w:r w:rsidRPr="00D05DEA">
        <w:rPr>
          <w:rStyle w:val="sub-quest"/>
          <w:rFonts w:cs="Segoe UI"/>
        </w:rPr>
        <w:t xml:space="preserve"> any </w:t>
      </w:r>
      <w:r>
        <w:rPr>
          <w:rStyle w:val="sub-quest"/>
          <w:rFonts w:cs="Segoe UI"/>
        </w:rPr>
        <w:t xml:space="preserve">binding </w:t>
      </w:r>
      <w:r w:rsidRPr="00D05DEA">
        <w:rPr>
          <w:rStyle w:val="sub-quest"/>
          <w:rFonts w:cs="Segoe UI"/>
        </w:rPr>
        <w:t xml:space="preserve">indication of how much higher </w:t>
      </w:r>
      <w:r>
        <w:rPr>
          <w:rStyle w:val="sub-quest"/>
          <w:rFonts w:cs="Segoe UI"/>
        </w:rPr>
        <w:t xml:space="preserve">the tariff may be relative to the national grid tariff. There is no requirement for tariffs to be approved, and tariffs charged are not monitored.   </w:t>
      </w:r>
    </w:p>
    <w:p w14:paraId="53B1F8EC" w14:textId="77777777" w:rsidR="00A42461" w:rsidRDefault="00A42461" w:rsidP="00A42461">
      <w:pPr>
        <w:jc w:val="both"/>
        <w:rPr>
          <w:rFonts w:cs="Segoe UI"/>
        </w:rPr>
      </w:pPr>
      <w:r>
        <w:rPr>
          <w:rStyle w:val="sub-quest"/>
          <w:rFonts w:cs="Segoe UI"/>
        </w:rPr>
        <w:lastRenderedPageBreak/>
        <w:t>In absence of a framework for mini-grids, t</w:t>
      </w:r>
      <w:r w:rsidRPr="00D05DEA">
        <w:rPr>
          <w:rStyle w:val="sub-quest"/>
          <w:rFonts w:cs="Segoe UI"/>
        </w:rPr>
        <w:t xml:space="preserve">here are no </w:t>
      </w:r>
      <w:r w:rsidRPr="003F6BF8">
        <w:rPr>
          <w:rStyle w:val="sub-quest"/>
          <w:rFonts w:cs="Segoe UI"/>
          <w:b/>
        </w:rPr>
        <w:t>financial incentives</w:t>
      </w:r>
      <w:r>
        <w:rPr>
          <w:rStyle w:val="sub-quest"/>
          <w:rFonts w:cs="Segoe UI"/>
        </w:rPr>
        <w:t>,</w:t>
      </w:r>
      <w:r w:rsidRPr="00D05DEA">
        <w:rPr>
          <w:rStyle w:val="sub-quest"/>
          <w:rFonts w:cs="Segoe UI"/>
        </w:rPr>
        <w:t xml:space="preserve"> </w:t>
      </w:r>
      <w:r>
        <w:rPr>
          <w:rStyle w:val="sub-quest"/>
          <w:rFonts w:cs="Segoe UI"/>
        </w:rPr>
        <w:t xml:space="preserve">such as </w:t>
      </w:r>
      <w:r w:rsidRPr="00D05DEA">
        <w:rPr>
          <w:rStyle w:val="sub-quest"/>
          <w:rFonts w:cs="Segoe UI"/>
        </w:rPr>
        <w:t xml:space="preserve">subsidies </w:t>
      </w:r>
      <w:r>
        <w:rPr>
          <w:rStyle w:val="sub-quest"/>
          <w:rFonts w:cs="Segoe UI"/>
        </w:rPr>
        <w:t>or tax exemptions,</w:t>
      </w:r>
      <w:r w:rsidRPr="00D05DEA">
        <w:rPr>
          <w:rStyle w:val="sub-quest"/>
          <w:rFonts w:cs="Segoe UI"/>
        </w:rPr>
        <w:t xml:space="preserve"> for mini-grid</w:t>
      </w:r>
      <w:r>
        <w:rPr>
          <w:rStyle w:val="sub-quest"/>
          <w:rFonts w:cs="Segoe UI"/>
        </w:rPr>
        <w:t xml:space="preserve"> operators. However, certain tax advantages are provided for models that promote renewable energies, and to incentivize PPP. Also, t</w:t>
      </w:r>
      <w:r w:rsidRPr="00D05DEA">
        <w:rPr>
          <w:rFonts w:cs="Segoe UI"/>
        </w:rPr>
        <w:t xml:space="preserve">he government </w:t>
      </w:r>
      <w:r>
        <w:rPr>
          <w:rFonts w:cs="Segoe UI"/>
        </w:rPr>
        <w:t>has</w:t>
      </w:r>
      <w:r w:rsidRPr="00D05DEA">
        <w:rPr>
          <w:rFonts w:cs="Segoe UI"/>
        </w:rPr>
        <w:t xml:space="preserve"> a dedicated budget for electrification with funding provided through </w:t>
      </w:r>
      <w:r w:rsidRPr="00D05DEA">
        <w:rPr>
          <w:rStyle w:val="ans"/>
          <w:rFonts w:cs="Segoe UI"/>
        </w:rPr>
        <w:t xml:space="preserve">ANPER (Rural Electrification Agency). This funding does not include funding for capital subsidies </w:t>
      </w:r>
      <w:r w:rsidRPr="00D05DEA">
        <w:rPr>
          <w:rFonts w:cs="Segoe UI"/>
        </w:rPr>
        <w:t>paid to the utilities to provide distribution systems to rural areas.</w:t>
      </w:r>
      <w:r>
        <w:rPr>
          <w:rFonts w:cs="Segoe UI"/>
        </w:rPr>
        <w:t xml:space="preserve"> Overall, there is limited transparency into which financial incentives may be available to mini-grid operators and/or PPPs.</w:t>
      </w:r>
    </w:p>
    <w:p w14:paraId="6DA75FD5" w14:textId="77777777" w:rsidR="00A42461" w:rsidRPr="00D05DEA" w:rsidRDefault="00A42461" w:rsidP="00A42461">
      <w:pPr>
        <w:jc w:val="both"/>
        <w:rPr>
          <w:rFonts w:cs="Segoe UI"/>
        </w:rPr>
      </w:pPr>
      <w:r>
        <w:rPr>
          <w:rStyle w:val="sub-quest"/>
          <w:rFonts w:cs="Segoe UI"/>
        </w:rPr>
        <w:t>Also, t</w:t>
      </w:r>
      <w:r w:rsidRPr="00D05DEA">
        <w:rPr>
          <w:rStyle w:val="sub-quest"/>
          <w:rFonts w:cs="Segoe UI"/>
        </w:rPr>
        <w:t xml:space="preserve">here are no </w:t>
      </w:r>
      <w:r w:rsidRPr="003F6BF8">
        <w:rPr>
          <w:rStyle w:val="sub-quest"/>
          <w:rFonts w:cs="Segoe UI"/>
          <w:b/>
        </w:rPr>
        <w:t>quality standards</w:t>
      </w:r>
      <w:r w:rsidRPr="00D05DEA">
        <w:rPr>
          <w:rStyle w:val="sub-quest"/>
          <w:rFonts w:cs="Segoe UI"/>
        </w:rPr>
        <w:t xml:space="preserve"> set out for mini-grids including </w:t>
      </w:r>
      <w:r w:rsidRPr="00D05DEA">
        <w:rPr>
          <w:rFonts w:cs="Segoe UI"/>
        </w:rPr>
        <w:t>technical standards detailing the requirements for mini-grids to connect the grid.</w:t>
      </w:r>
    </w:p>
    <w:p w14:paraId="49145003" w14:textId="77777777" w:rsidR="00A42461" w:rsidRDefault="00A42461" w:rsidP="00A42461">
      <w:pPr>
        <w:jc w:val="both"/>
        <w:rPr>
          <w:rFonts w:cs="Segoe UI"/>
        </w:rPr>
      </w:pPr>
      <w:r>
        <w:rPr>
          <w:rFonts w:cs="Segoe UI"/>
        </w:rPr>
        <w:t xml:space="preserve">While a legal </w:t>
      </w:r>
      <w:r w:rsidRPr="00D05DEA">
        <w:rPr>
          <w:rFonts w:cs="Segoe UI"/>
        </w:rPr>
        <w:t xml:space="preserve">framework for </w:t>
      </w:r>
      <w:r w:rsidRPr="00F034D7">
        <w:rPr>
          <w:rFonts w:cs="Segoe UI"/>
          <w:b/>
        </w:rPr>
        <w:t>renewable energy</w:t>
      </w:r>
      <w:r w:rsidRPr="00D05DEA">
        <w:rPr>
          <w:rFonts w:cs="Segoe UI"/>
        </w:rPr>
        <w:t xml:space="preserve"> development exist</w:t>
      </w:r>
      <w:r>
        <w:rPr>
          <w:rFonts w:cs="Segoe UI"/>
        </w:rPr>
        <w:t xml:space="preserve">s, </w:t>
      </w:r>
      <w:r w:rsidRPr="00D05DEA">
        <w:rPr>
          <w:rFonts w:cs="Segoe UI"/>
        </w:rPr>
        <w:t>private sector ownership of renewable energy generation has not</w:t>
      </w:r>
      <w:r>
        <w:rPr>
          <w:rFonts w:cs="Segoe UI"/>
        </w:rPr>
        <w:t xml:space="preserve"> specifically</w:t>
      </w:r>
      <w:r w:rsidRPr="00D05DEA">
        <w:rPr>
          <w:rFonts w:cs="Segoe UI"/>
        </w:rPr>
        <w:t xml:space="preserve"> been legally authorized. Given that private sector players are allowed to own and operate mini-grids, this lack of regulation specific to</w:t>
      </w:r>
      <w:r>
        <w:rPr>
          <w:rFonts w:cs="Segoe UI"/>
        </w:rPr>
        <w:t xml:space="preserve"> renewables-powered</w:t>
      </w:r>
      <w:r w:rsidRPr="00D05DEA">
        <w:rPr>
          <w:rFonts w:cs="Segoe UI"/>
        </w:rPr>
        <w:t xml:space="preserve"> mini-grids would imply that they are not specifically excluded, however, this ambiguity would likely necessitate further investigation by any private sector player to ascertain the legal position</w:t>
      </w:r>
      <w:r>
        <w:rPr>
          <w:rFonts w:cs="Segoe UI"/>
        </w:rPr>
        <w:t xml:space="preserve"> on a case by case basis</w:t>
      </w:r>
      <w:r w:rsidRPr="00D05DEA">
        <w:rPr>
          <w:rFonts w:cs="Segoe UI"/>
        </w:rPr>
        <w:t xml:space="preserve">. </w:t>
      </w:r>
    </w:p>
    <w:p w14:paraId="2B4E50A4" w14:textId="77777777" w:rsidR="00A42461" w:rsidRDefault="00A42461" w:rsidP="00A42461">
      <w:pPr>
        <w:jc w:val="both"/>
        <w:rPr>
          <w:rFonts w:cs="Segoe UI"/>
        </w:rPr>
      </w:pPr>
      <w:r w:rsidRPr="00D05DEA">
        <w:rPr>
          <w:rFonts w:cs="Segoe UI"/>
        </w:rPr>
        <w:t xml:space="preserve">Despite the </w:t>
      </w:r>
      <w:r>
        <w:rPr>
          <w:rFonts w:cs="Segoe UI"/>
        </w:rPr>
        <w:t xml:space="preserve">somewhat </w:t>
      </w:r>
      <w:r w:rsidRPr="00D05DEA">
        <w:rPr>
          <w:rFonts w:cs="Segoe UI"/>
        </w:rPr>
        <w:t>ambiguous regulatory environment, Nig</w:t>
      </w:r>
      <w:r>
        <w:rPr>
          <w:rFonts w:cs="Segoe UI"/>
        </w:rPr>
        <w:t>er has successfully attracted modest initial investment in m</w:t>
      </w:r>
      <w:r w:rsidRPr="00D05DEA">
        <w:rPr>
          <w:rFonts w:cs="Segoe UI"/>
        </w:rPr>
        <w:t>ini</w:t>
      </w:r>
      <w:r>
        <w:rPr>
          <w:rFonts w:cs="Segoe UI"/>
        </w:rPr>
        <w:t>-grids.</w:t>
      </w:r>
      <w:r w:rsidRPr="00D05DEA">
        <w:rPr>
          <w:rFonts w:cs="Segoe UI"/>
        </w:rPr>
        <w:t xml:space="preserve"> </w:t>
      </w:r>
      <w:r w:rsidRPr="00DB0101">
        <w:rPr>
          <w:rFonts w:cs="Segoe UI"/>
        </w:rPr>
        <w:t>As an example, in July 2016</w:t>
      </w:r>
      <w:r>
        <w:rPr>
          <w:rFonts w:cs="Segoe UI"/>
        </w:rPr>
        <w:t xml:space="preserve"> Niger received a US $</w:t>
      </w:r>
      <w:r w:rsidRPr="00DB0101">
        <w:rPr>
          <w:rFonts w:cs="Segoe UI"/>
        </w:rPr>
        <w:t>994,270 grant from the African Development Bank</w:t>
      </w:r>
      <w:r>
        <w:rPr>
          <w:rFonts w:cs="Segoe UI"/>
        </w:rPr>
        <w:t>’s</w:t>
      </w:r>
      <w:r w:rsidRPr="00DB0101">
        <w:rPr>
          <w:rFonts w:cs="Segoe UI"/>
        </w:rPr>
        <w:t xml:space="preserve"> Sustainable Energy Fund for </w:t>
      </w:r>
      <w:r w:rsidRPr="00871E5B">
        <w:rPr>
          <w:rFonts w:cs="Segoe UI"/>
        </w:rPr>
        <w:t>Africa (SEFA)</w:t>
      </w:r>
      <w:r>
        <w:rPr>
          <w:rStyle w:val="FootnoteReference"/>
          <w:rFonts w:cs="Segoe UI"/>
        </w:rPr>
        <w:footnoteReference w:id="95"/>
      </w:r>
      <w:r w:rsidRPr="00DB0101">
        <w:rPr>
          <w:rFonts w:cs="Segoe UI"/>
        </w:rPr>
        <w:t> aiming</w:t>
      </w:r>
      <w:r>
        <w:rPr>
          <w:rFonts w:cs="Segoe UI"/>
          <w:color w:val="FF0000"/>
        </w:rPr>
        <w:t xml:space="preserve"> </w:t>
      </w:r>
      <w:r w:rsidRPr="00DB0101">
        <w:rPr>
          <w:rFonts w:cs="Segoe UI"/>
        </w:rPr>
        <w:t>to promote green mini</w:t>
      </w:r>
      <w:r>
        <w:rPr>
          <w:rFonts w:cs="Segoe UI"/>
        </w:rPr>
        <w:t>-grids and increase</w:t>
      </w:r>
      <w:r w:rsidRPr="00DB0101">
        <w:rPr>
          <w:rFonts w:cs="Segoe UI"/>
        </w:rPr>
        <w:t xml:space="preserve"> private investments in the green mini grid sector</w:t>
      </w:r>
      <w:r w:rsidRPr="00DB0101">
        <w:rPr>
          <w:rStyle w:val="FootnoteReference"/>
          <w:rFonts w:cs="Segoe UI"/>
        </w:rPr>
        <w:footnoteReference w:id="96"/>
      </w:r>
      <w:r w:rsidRPr="00DB0101">
        <w:rPr>
          <w:rFonts w:cs="Segoe UI"/>
        </w:rPr>
        <w:t xml:space="preserve">. </w:t>
      </w:r>
      <w:r>
        <w:rPr>
          <w:rFonts w:cs="Segoe UI"/>
        </w:rPr>
        <w:t xml:space="preserve"> </w:t>
      </w:r>
      <w:r w:rsidRPr="00DB0101">
        <w:rPr>
          <w:rFonts w:eastAsia="Times New Roman" w:cs="Segoe UI"/>
        </w:rPr>
        <w:t xml:space="preserve">A key feature of the project is that it </w:t>
      </w:r>
      <w:r>
        <w:rPr>
          <w:rFonts w:eastAsia="Times New Roman" w:cs="Segoe UI"/>
        </w:rPr>
        <w:t>is expected to</w:t>
      </w:r>
      <w:r w:rsidRPr="00DB0101">
        <w:rPr>
          <w:rFonts w:eastAsia="Times New Roman" w:cs="Segoe UI"/>
        </w:rPr>
        <w:t xml:space="preserve"> provide support to green mini-grid developers through a business plan competition and feasibility studies; analyze and validate green mini-grid operational models and business cases; and work to remove any fiscal, institutional, technical or quality constraints</w:t>
      </w:r>
      <w:r>
        <w:rPr>
          <w:rFonts w:eastAsia="Times New Roman" w:cs="Segoe UI"/>
        </w:rPr>
        <w:t xml:space="preserve"> (AFDB </w:t>
      </w:r>
      <w:r w:rsidRPr="00DB0101">
        <w:rPr>
          <w:rFonts w:eastAsia="Times New Roman" w:cs="Segoe UI"/>
        </w:rPr>
        <w:t>2016</w:t>
      </w:r>
      <w:r>
        <w:rPr>
          <w:rFonts w:eastAsia="Times New Roman" w:cs="Segoe UI"/>
        </w:rPr>
        <w:t>)</w:t>
      </w:r>
      <w:r w:rsidRPr="00DB0101">
        <w:rPr>
          <w:rFonts w:eastAsia="Times New Roman" w:cs="Segoe UI"/>
        </w:rPr>
        <w:t>.</w:t>
      </w:r>
      <w:r w:rsidRPr="00DB0101">
        <w:rPr>
          <w:rFonts w:cs="Segoe UI"/>
        </w:rPr>
        <w:t xml:space="preserve"> The</w:t>
      </w:r>
      <w:r>
        <w:rPr>
          <w:rFonts w:cs="Segoe UI"/>
        </w:rPr>
        <w:t xml:space="preserve"> </w:t>
      </w:r>
      <w:r w:rsidRPr="00DB0101">
        <w:rPr>
          <w:rFonts w:cs="Segoe UI"/>
        </w:rPr>
        <w:t>program is also expected to contribute to at least $10 million in funding raised for renewable energy (RE) projects by 2018</w:t>
      </w:r>
      <w:r>
        <w:rPr>
          <w:rFonts w:eastAsia="Times New Roman" w:cs="Segoe UI"/>
        </w:rPr>
        <w:t xml:space="preserve"> (AFDB 2016).</w:t>
      </w:r>
      <w:r>
        <w:rPr>
          <w:rStyle w:val="FootnoteReference"/>
          <w:rFonts w:eastAsia="Times New Roman" w:cs="Segoe UI"/>
        </w:rPr>
        <w:footnoteReference w:id="97"/>
      </w:r>
      <w:r>
        <w:rPr>
          <w:rFonts w:eastAsia="Times New Roman" w:cs="Segoe UI"/>
        </w:rPr>
        <w:t xml:space="preserve"> </w:t>
      </w:r>
      <w:r>
        <w:rPr>
          <w:rFonts w:cs="Segoe UI"/>
        </w:rPr>
        <w:t>It is also hoped that growing investment could act as an impetus for the government to develop a more rigorous</w:t>
      </w:r>
      <w:r w:rsidRPr="00D05DEA">
        <w:rPr>
          <w:rFonts w:cs="Segoe UI"/>
        </w:rPr>
        <w:t xml:space="preserve"> policy environment</w:t>
      </w:r>
      <w:r>
        <w:rPr>
          <w:rFonts w:cs="Segoe UI"/>
        </w:rPr>
        <w:t>.</w:t>
      </w:r>
    </w:p>
    <w:p w14:paraId="76787D57" w14:textId="66400302" w:rsidR="00A42461" w:rsidRPr="009C1243" w:rsidRDefault="00A42461" w:rsidP="00A42461">
      <w:pPr>
        <w:pStyle w:val="H3NEWreportStyle"/>
        <w:numPr>
          <w:ilvl w:val="0"/>
          <w:numId w:val="0"/>
        </w:numPr>
        <w:spacing w:before="360"/>
        <w:ind w:left="1152" w:hanging="864"/>
      </w:pPr>
      <w:bookmarkStart w:id="227" w:name="_Toc501097059"/>
      <w:r>
        <w:t>A.2.3 Different PPP structures for mini-grid investments</w:t>
      </w:r>
      <w:bookmarkEnd w:id="227"/>
    </w:p>
    <w:p w14:paraId="076D63AD" w14:textId="77777777" w:rsidR="00A42461" w:rsidRDefault="00A42461" w:rsidP="00A42461">
      <w:pPr>
        <w:autoSpaceDE w:val="0"/>
        <w:autoSpaceDN w:val="0"/>
        <w:adjustRightInd w:val="0"/>
        <w:jc w:val="both"/>
        <w:rPr>
          <w:rFonts w:cs="Segoe UI"/>
        </w:rPr>
      </w:pPr>
      <w:r>
        <w:rPr>
          <w:rFonts w:cs="Segoe UI"/>
        </w:rPr>
        <w:t xml:space="preserve">The initial assessment of the regulatory environment, as well as the early development stages of the whole ecosystem for solar in Niger, suggest that government and development sector interventions will be required to attract investment into this sector. One strategy to encourage private sector investment in such challenging market environments is the promotion of public-private partnerships (PPP). </w:t>
      </w:r>
      <w:r w:rsidRPr="00DB0101">
        <w:rPr>
          <w:rFonts w:cs="Segoe UI"/>
        </w:rPr>
        <w:t xml:space="preserve">There are several </w:t>
      </w:r>
      <w:r>
        <w:rPr>
          <w:rFonts w:cs="Segoe UI"/>
        </w:rPr>
        <w:t xml:space="preserve">accepted </w:t>
      </w:r>
      <w:r w:rsidRPr="00DB0101">
        <w:rPr>
          <w:rFonts w:cs="Segoe UI"/>
        </w:rPr>
        <w:t xml:space="preserve">definitions of </w:t>
      </w:r>
      <w:r>
        <w:rPr>
          <w:rFonts w:cs="Segoe UI"/>
        </w:rPr>
        <w:t>PPPs</w:t>
      </w:r>
      <w:r w:rsidRPr="00DB0101">
        <w:rPr>
          <w:rFonts w:cs="Segoe UI"/>
        </w:rPr>
        <w:t>; for this study, we take the PPP Knowledge Lab’s</w:t>
      </w:r>
      <w:r w:rsidRPr="00DB0101">
        <w:rPr>
          <w:rStyle w:val="FootnoteReference"/>
          <w:rFonts w:cs="Segoe UI"/>
        </w:rPr>
        <w:footnoteReference w:id="98"/>
      </w:r>
      <w:r w:rsidRPr="00DB0101">
        <w:rPr>
          <w:rFonts w:cs="Segoe UI"/>
        </w:rPr>
        <w:t xml:space="preserve"> definition of a PPP as “a long-term contract between a private party and a government entity, for providing a public asset or </w:t>
      </w:r>
      <w:r w:rsidRPr="00DB0101">
        <w:rPr>
          <w:rFonts w:cs="Segoe UI"/>
        </w:rPr>
        <w:lastRenderedPageBreak/>
        <w:t>service, in which the private party bears significant risk and management responsibility, and remuneration is linked to performance.”</w:t>
      </w:r>
      <w:r>
        <w:rPr>
          <w:rFonts w:cs="Segoe UI"/>
        </w:rPr>
        <w:t xml:space="preserve"> </w:t>
      </w:r>
    </w:p>
    <w:p w14:paraId="0A959B13" w14:textId="77777777" w:rsidR="00A42461" w:rsidRDefault="00A42461" w:rsidP="00A42461">
      <w:pPr>
        <w:autoSpaceDE w:val="0"/>
        <w:autoSpaceDN w:val="0"/>
        <w:adjustRightInd w:val="0"/>
        <w:jc w:val="both"/>
        <w:rPr>
          <w:rFonts w:cs="Segoe UI"/>
        </w:rPr>
      </w:pPr>
      <w:r>
        <w:rPr>
          <w:rFonts w:cs="Segoe UI"/>
        </w:rPr>
        <w:t xml:space="preserve">There are many different PPP structures for mini-grids with different levels of involvement of the public sector. Generally, the higher the level of public support, e.g. through subsidies and grants, the lower the tariffs, and consequently the broader the reach, especially in low income population areas. In contrast, higher level of public support often results in grant dependencies and lacking opportunities to scale a sustainable model.  </w:t>
      </w:r>
    </w:p>
    <w:p w14:paraId="286AD65C" w14:textId="6571C54F" w:rsidR="00A42461" w:rsidRDefault="00A42461" w:rsidP="00A42461">
      <w:pPr>
        <w:jc w:val="both"/>
        <w:rPr>
          <w:rFonts w:cs="Segoe UI"/>
        </w:rPr>
      </w:pPr>
      <w:r>
        <w:rPr>
          <w:rFonts w:cs="Segoe UI"/>
        </w:rPr>
        <w:fldChar w:fldCharType="begin"/>
      </w:r>
      <w:r>
        <w:rPr>
          <w:rFonts w:cs="Segoe UI"/>
        </w:rPr>
        <w:instrText xml:space="preserve"> REF _Ref485934007 \h </w:instrText>
      </w:r>
      <w:r>
        <w:rPr>
          <w:rFonts w:cs="Segoe UI"/>
        </w:rPr>
      </w:r>
      <w:r>
        <w:rPr>
          <w:rFonts w:cs="Segoe UI"/>
        </w:rPr>
        <w:fldChar w:fldCharType="separate"/>
      </w:r>
      <w:r w:rsidR="000D1C35">
        <w:t xml:space="preserve">Figure </w:t>
      </w:r>
      <w:r w:rsidR="000D1C35">
        <w:rPr>
          <w:noProof/>
        </w:rPr>
        <w:t>27</w:t>
      </w:r>
      <w:r>
        <w:rPr>
          <w:rFonts w:cs="Segoe UI"/>
        </w:rPr>
        <w:fldChar w:fldCharType="end"/>
      </w:r>
      <w:r>
        <w:rPr>
          <w:rFonts w:cs="Segoe UI"/>
        </w:rPr>
        <w:t xml:space="preserve"> provides an overview of four different structures of PPP for mini-grids; moving from the left side to the right side the involvement of the private sector increases. Model A mini-grids are procured, owned and installed by the public partner, both generation assets and distribution assets. The private partner operates and maintains the assets, and is responsible for the commercialization, typically based on a long-term operation and maintenance agreement. In model B, the public sector is responsible for setting up, operating and maintaining the distribution assets, as well as the commercialization. The private partner sets up, operates and maintains the generation assets, and, based on a power purchase agreement, sells the generated power to the public grid. In model C, the public partner again procures and owns all the assets, and typically installs the distribution assets, while all remaining activities are performed by the private partner. The private partner installs the generation assets, and operates and maintains the whole system, including the commercialization, based on a concession agreement. In model D, the public sector procures, owns and installs the distribution assets. Power generation, operating and maintaining the distribution assets, and commercialization are performed by the private partner; an example of model D are the mini-grids being implemented under the Nigeria Energy Support Program.</w:t>
      </w:r>
      <w:r>
        <w:rPr>
          <w:rStyle w:val="FootnoteReference"/>
          <w:rFonts w:cs="Segoe UI"/>
        </w:rPr>
        <w:footnoteReference w:id="99"/>
      </w:r>
      <w:r>
        <w:rPr>
          <w:rFonts w:cs="Segoe UI"/>
        </w:rPr>
        <w:t xml:space="preserve">   </w:t>
      </w:r>
    </w:p>
    <w:p w14:paraId="25AE5294" w14:textId="53FCC7DB" w:rsidR="00A42461" w:rsidRDefault="00A42461" w:rsidP="00A42461">
      <w:pPr>
        <w:pStyle w:val="Caption"/>
      </w:pPr>
      <w:bookmarkStart w:id="228" w:name="_Ref485934007"/>
      <w:bookmarkStart w:id="229" w:name="_Toc500969364"/>
      <w:r>
        <w:lastRenderedPageBreak/>
        <w:t xml:space="preserve">Figure </w:t>
      </w:r>
      <w:fldSimple w:instr=" SEQ Figure \* ARABIC ">
        <w:r w:rsidR="000D1C35">
          <w:rPr>
            <w:noProof/>
          </w:rPr>
          <w:t>27</w:t>
        </w:r>
      </w:fldSimple>
      <w:bookmarkEnd w:id="228"/>
      <w:r>
        <w:t>: Example PPP models for mini-grids</w:t>
      </w:r>
      <w:r>
        <w:rPr>
          <w:rStyle w:val="FootnoteReference"/>
        </w:rPr>
        <w:footnoteReference w:id="100"/>
      </w:r>
      <w:bookmarkEnd w:id="229"/>
    </w:p>
    <w:p w14:paraId="2BA2B25C" w14:textId="77777777" w:rsidR="00A42461" w:rsidRDefault="00A42461" w:rsidP="00A42461">
      <w:r>
        <w:rPr>
          <w:noProof/>
        </w:rPr>
        <w:drawing>
          <wp:inline distT="0" distB="0" distL="0" distR="0" wp14:anchorId="328D212B" wp14:editId="6B3E46A9">
            <wp:extent cx="5998213" cy="370141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6021192" cy="3715595"/>
                    </a:xfrm>
                    <a:prstGeom prst="rect">
                      <a:avLst/>
                    </a:prstGeom>
                    <a:ln>
                      <a:noFill/>
                    </a:ln>
                    <a:extLst>
                      <a:ext uri="{53640926-AAD7-44D8-BBD7-CCE9431645EC}">
                        <a14:shadowObscured xmlns:a14="http://schemas.microsoft.com/office/drawing/2010/main"/>
                      </a:ext>
                    </a:extLst>
                  </pic:spPr>
                </pic:pic>
              </a:graphicData>
            </a:graphic>
          </wp:inline>
        </w:drawing>
      </w:r>
    </w:p>
    <w:p w14:paraId="1BA14EE9" w14:textId="77777777" w:rsidR="00A42461" w:rsidRPr="001E27DE" w:rsidRDefault="00A42461" w:rsidP="00A42461">
      <w:pPr>
        <w:jc w:val="both"/>
        <w:rPr>
          <w:rFonts w:cs="Segoe UI"/>
        </w:rPr>
      </w:pPr>
      <w:r>
        <w:rPr>
          <w:rFonts w:cs="Segoe UI"/>
        </w:rPr>
        <w:t xml:space="preserve">The models shown above are a few examples of how to structure PPPs in mini-grids. The exact structure of the model needs to be tailored to respective market conditions, and the interests of the public and private partners. In Niger, regardless of PPP structure, additional subsidies, grant funding, first loss coverage agreements, and/or asset insurances are likely to be required to encourage rapid growth in private sector involvement in the mini-grid market. </w:t>
      </w:r>
    </w:p>
    <w:p w14:paraId="165D122B" w14:textId="0FBF8DDC" w:rsidR="00A42461" w:rsidRPr="00955049" w:rsidRDefault="00A42461" w:rsidP="00A42461">
      <w:pPr>
        <w:pStyle w:val="H3NEWreportStyle"/>
        <w:numPr>
          <w:ilvl w:val="0"/>
          <w:numId w:val="0"/>
        </w:numPr>
        <w:spacing w:before="360"/>
        <w:ind w:left="1152" w:hanging="864"/>
      </w:pPr>
      <w:bookmarkStart w:id="230" w:name="_Toc501097060"/>
      <w:r>
        <w:t xml:space="preserve">A.2.4 </w:t>
      </w:r>
      <w:r w:rsidRPr="00955049">
        <w:t>Identifying high potential locations for mini-grids</w:t>
      </w:r>
      <w:bookmarkEnd w:id="230"/>
    </w:p>
    <w:p w14:paraId="0B8EC714" w14:textId="77777777" w:rsidR="00A42461" w:rsidRDefault="00A42461" w:rsidP="00A42461">
      <w:pPr>
        <w:jc w:val="both"/>
        <w:rPr>
          <w:rFonts w:cs="Segoe UI"/>
          <w:lang w:val="en-GB"/>
        </w:rPr>
      </w:pPr>
      <w:r>
        <w:rPr>
          <w:rFonts w:cs="Segoe UI"/>
          <w:lang w:val="en-GB"/>
        </w:rPr>
        <w:t xml:space="preserve">Mini-grids are only a viable option in areas of relatively dense energy demand, so that sales of electricity allow for the amortization of the high upfront capital costs within a reasonable time. </w:t>
      </w:r>
    </w:p>
    <w:p w14:paraId="7F77FA5E" w14:textId="17B4BC74" w:rsidR="00A42461" w:rsidRPr="00ED307C" w:rsidRDefault="00A42461" w:rsidP="00A42461">
      <w:pPr>
        <w:jc w:val="both"/>
        <w:rPr>
          <w:rFonts w:cs="Segoe UI"/>
          <w:b/>
          <w:lang w:val="en-GB"/>
        </w:rPr>
      </w:pPr>
      <w:r>
        <w:rPr>
          <w:rFonts w:cs="Segoe UI"/>
          <w:lang w:val="en-GB"/>
        </w:rPr>
        <w:t xml:space="preserve">Based on the data available, the demand side analysis was performed on a Commune level. As Communes vary largely in geographic land area, and are frequently very large, analysis at the Commune-level is not well suited to identify potential mini-grid sites. As a result, we base the identification of potential mini-grid sites on the number of households per </w:t>
      </w:r>
      <w:r w:rsidR="00DC4202">
        <w:rPr>
          <w:rFonts w:cs="Segoe UI"/>
          <w:lang w:val="en-GB"/>
        </w:rPr>
        <w:t>locality</w:t>
      </w:r>
      <w:r>
        <w:rPr>
          <w:rFonts w:cs="Segoe UI"/>
          <w:lang w:val="en-GB"/>
        </w:rPr>
        <w:t xml:space="preserve">, and the distance of the </w:t>
      </w:r>
      <w:r w:rsidR="00DC4202">
        <w:rPr>
          <w:rFonts w:cs="Segoe UI"/>
          <w:lang w:val="en-GB"/>
        </w:rPr>
        <w:t>locality</w:t>
      </w:r>
      <w:r>
        <w:rPr>
          <w:rFonts w:cs="Segoe UI"/>
          <w:lang w:val="en-GB"/>
        </w:rPr>
        <w:t xml:space="preserve"> from the grid. </w:t>
      </w:r>
      <w:r w:rsidRPr="00ED307C">
        <w:rPr>
          <w:rFonts w:cs="Segoe UI"/>
          <w:b/>
          <w:lang w:val="en-GB"/>
        </w:rPr>
        <w:t>The precision of our analysis was limited by the lacking granularity of grid access data,</w:t>
      </w:r>
      <w:r>
        <w:rPr>
          <w:rFonts w:cs="Segoe UI"/>
          <w:b/>
          <w:lang w:val="en-GB"/>
        </w:rPr>
        <w:t xml:space="preserve"> and the absence of precise location data for grid extension plans, so </w:t>
      </w:r>
      <w:r w:rsidRPr="00ED307C">
        <w:rPr>
          <w:rFonts w:cs="Segoe UI"/>
          <w:b/>
          <w:lang w:val="en-GB"/>
        </w:rPr>
        <w:t xml:space="preserve">we recommend </w:t>
      </w:r>
      <w:r>
        <w:rPr>
          <w:rFonts w:cs="Segoe UI"/>
          <w:b/>
          <w:lang w:val="en-GB"/>
        </w:rPr>
        <w:t xml:space="preserve">further discussions with NIGELEC to validate the suitability of these site locations. </w:t>
      </w:r>
      <w:r w:rsidRPr="00ED307C">
        <w:rPr>
          <w:rFonts w:cs="Segoe UI"/>
          <w:b/>
          <w:lang w:val="en-GB"/>
        </w:rPr>
        <w:t xml:space="preserve"> </w:t>
      </w:r>
    </w:p>
    <w:p w14:paraId="38CCD984" w14:textId="51B5BE8C" w:rsidR="00A42461" w:rsidRDefault="00A42461" w:rsidP="00A42461">
      <w:pPr>
        <w:jc w:val="both"/>
        <w:rPr>
          <w:rFonts w:cs="Segoe UI"/>
          <w:lang w:val="en-GB"/>
        </w:rPr>
      </w:pPr>
      <w:r w:rsidRPr="00871793">
        <w:rPr>
          <w:rFonts w:cs="Segoe UI"/>
          <w:lang w:val="en-GB"/>
        </w:rPr>
        <w:lastRenderedPageBreak/>
        <w:t xml:space="preserve">We focus our analysis predominantly on </w:t>
      </w:r>
      <w:r w:rsidR="00DC4202">
        <w:rPr>
          <w:rFonts w:cs="Segoe UI"/>
          <w:lang w:val="en-GB"/>
        </w:rPr>
        <w:t>localities</w:t>
      </w:r>
      <w:r w:rsidRPr="00871793">
        <w:rPr>
          <w:rFonts w:cs="Segoe UI"/>
          <w:lang w:val="en-GB"/>
        </w:rPr>
        <w:t xml:space="preserve"> situated more than 20 kilometres of the grid, and consequently unlikely to be reached by the grid anytime in the near term. Aligned with the findings that a large share of the Nigerien population lives in small villages (i.e. 69% of the population live in </w:t>
      </w:r>
      <w:r w:rsidR="00DC4202">
        <w:rPr>
          <w:rFonts w:cs="Segoe UI"/>
          <w:lang w:val="en-GB"/>
        </w:rPr>
        <w:t>localities</w:t>
      </w:r>
      <w:r w:rsidRPr="00871793">
        <w:rPr>
          <w:rFonts w:cs="Segoe UI"/>
          <w:lang w:val="en-GB"/>
        </w:rPr>
        <w:t xml:space="preserve"> with less than 2,000 inhabitants), we find that </w:t>
      </w:r>
      <w:r w:rsidR="00DC4202">
        <w:rPr>
          <w:rFonts w:cs="Segoe UI"/>
          <w:lang w:val="en-GB"/>
        </w:rPr>
        <w:t>locality</w:t>
      </w:r>
      <w:r w:rsidRPr="00871793">
        <w:rPr>
          <w:rFonts w:cs="Segoe UI"/>
          <w:lang w:val="en-GB"/>
        </w:rPr>
        <w:t xml:space="preserve"> sizes more than 20 kilometres of the grid range from only a few households to at most around 680. Not surprisingly, we also see a tendency of decreasing </w:t>
      </w:r>
      <w:r w:rsidR="00DC4202">
        <w:rPr>
          <w:rFonts w:cs="Segoe UI"/>
          <w:lang w:val="en-GB"/>
        </w:rPr>
        <w:t>locality</w:t>
      </w:r>
      <w:r w:rsidRPr="00871793">
        <w:rPr>
          <w:rFonts w:cs="Segoe UI"/>
          <w:lang w:val="en-GB"/>
        </w:rPr>
        <w:t xml:space="preserve"> size with increasing distance from the grid. In this range beyond 20 kilometres from the grid, we identify three loca</w:t>
      </w:r>
      <w:r w:rsidR="00DC4202">
        <w:rPr>
          <w:rFonts w:cs="Segoe UI"/>
          <w:lang w:val="en-GB"/>
        </w:rPr>
        <w:t>lities</w:t>
      </w:r>
      <w:r w:rsidRPr="00871793">
        <w:rPr>
          <w:rFonts w:cs="Segoe UI"/>
          <w:lang w:val="en-GB"/>
        </w:rPr>
        <w:t xml:space="preserve">, potentially suited for mini-grid pilot projects; further details on these 3 </w:t>
      </w:r>
      <w:r w:rsidR="00DC4202">
        <w:rPr>
          <w:rFonts w:cs="Segoe UI"/>
          <w:lang w:val="en-GB"/>
        </w:rPr>
        <w:t>localities</w:t>
      </w:r>
      <w:r w:rsidRPr="00871793">
        <w:rPr>
          <w:rFonts w:cs="Segoe UI"/>
          <w:lang w:val="en-GB"/>
        </w:rPr>
        <w:t xml:space="preserve"> are presented in </w:t>
      </w:r>
      <w:r w:rsidRPr="00871793">
        <w:rPr>
          <w:rFonts w:cs="Segoe UI"/>
          <w:lang w:val="en-GB"/>
        </w:rPr>
        <w:fldChar w:fldCharType="begin"/>
      </w:r>
      <w:r w:rsidRPr="00871793">
        <w:rPr>
          <w:rFonts w:cs="Segoe UI"/>
          <w:lang w:val="en-GB"/>
        </w:rPr>
        <w:instrText xml:space="preserve"> REF _Ref477515496 \h </w:instrText>
      </w:r>
      <w:r>
        <w:rPr>
          <w:rFonts w:cs="Segoe UI"/>
          <w:lang w:val="en-GB"/>
        </w:rPr>
        <w:instrText xml:space="preserve"> \* MERGEFORMAT </w:instrText>
      </w:r>
      <w:r w:rsidRPr="00871793">
        <w:rPr>
          <w:rFonts w:cs="Segoe UI"/>
          <w:lang w:val="en-GB"/>
        </w:rPr>
      </w:r>
      <w:r w:rsidRPr="00871793">
        <w:rPr>
          <w:rFonts w:cs="Segoe UI"/>
          <w:lang w:val="en-GB"/>
        </w:rPr>
        <w:fldChar w:fldCharType="separate"/>
      </w:r>
      <w:r w:rsidR="000D1C35">
        <w:t xml:space="preserve">Table </w:t>
      </w:r>
      <w:r w:rsidR="000D1C35">
        <w:rPr>
          <w:noProof/>
        </w:rPr>
        <w:t>43</w:t>
      </w:r>
      <w:r w:rsidRPr="00871793">
        <w:rPr>
          <w:rFonts w:cs="Segoe UI"/>
          <w:lang w:val="en-GB"/>
        </w:rPr>
        <w:fldChar w:fldCharType="end"/>
      </w:r>
      <w:r w:rsidRPr="00871793">
        <w:rPr>
          <w:rFonts w:cs="Segoe UI"/>
          <w:lang w:val="en-GB"/>
        </w:rPr>
        <w:t>.</w:t>
      </w:r>
      <w:r>
        <w:rPr>
          <w:rFonts w:cs="Segoe UI"/>
          <w:lang w:val="en-GB"/>
        </w:rPr>
        <w:t xml:space="preserve"> </w:t>
      </w:r>
    </w:p>
    <w:p w14:paraId="25C1700D" w14:textId="14098661" w:rsidR="00A42461" w:rsidRDefault="00A42461" w:rsidP="00A42461">
      <w:pPr>
        <w:pStyle w:val="Caption"/>
      </w:pPr>
      <w:bookmarkStart w:id="231" w:name="_Ref477515496"/>
      <w:bookmarkStart w:id="232" w:name="_Toc500969407"/>
      <w:r>
        <w:t xml:space="preserve">Table </w:t>
      </w:r>
      <w:fldSimple w:instr=" SEQ Table \* ARABIC ">
        <w:r w:rsidR="000D1C35">
          <w:rPr>
            <w:noProof/>
          </w:rPr>
          <w:t>43</w:t>
        </w:r>
      </w:fldSimple>
      <w:bookmarkEnd w:id="231"/>
      <w:r>
        <w:t xml:space="preserve">: The largest </w:t>
      </w:r>
      <w:r w:rsidR="00DC4202">
        <w:t>localities</w:t>
      </w:r>
      <w:r>
        <w:t xml:space="preserve"> more than 20 kilometers of the grid</w:t>
      </w:r>
      <w:r>
        <w:rPr>
          <w:rStyle w:val="FootnoteReference"/>
        </w:rPr>
        <w:footnoteReference w:id="101"/>
      </w:r>
      <w:bookmarkEnd w:id="232"/>
    </w:p>
    <w:tbl>
      <w:tblPr>
        <w:tblStyle w:val="GridTable6Colorful"/>
        <w:tblW w:w="0" w:type="auto"/>
        <w:tblLook w:val="0680" w:firstRow="0" w:lastRow="0" w:firstColumn="1" w:lastColumn="0" w:noHBand="1" w:noVBand="1"/>
      </w:tblPr>
      <w:tblGrid>
        <w:gridCol w:w="1615"/>
        <w:gridCol w:w="2343"/>
        <w:gridCol w:w="1312"/>
        <w:gridCol w:w="1313"/>
        <w:gridCol w:w="1467"/>
        <w:gridCol w:w="1300"/>
      </w:tblGrid>
      <w:tr w:rsidR="00A42461" w:rsidRPr="00523A68" w14:paraId="19BB2FDF" w14:textId="77777777" w:rsidTr="00760382">
        <w:trPr>
          <w:trHeight w:val="777"/>
        </w:trPr>
        <w:tc>
          <w:tcPr>
            <w:cnfStyle w:val="001000000000" w:firstRow="0" w:lastRow="0" w:firstColumn="1" w:lastColumn="0" w:oddVBand="0" w:evenVBand="0" w:oddHBand="0" w:evenHBand="0" w:firstRowFirstColumn="0" w:firstRowLastColumn="0" w:lastRowFirstColumn="0" w:lastRowLastColumn="0"/>
            <w:tcW w:w="1615" w:type="dxa"/>
            <w:shd w:val="clear" w:color="auto" w:fill="BFD4EF" w:themeFill="text1" w:themeFillTint="33"/>
            <w:vAlign w:val="center"/>
          </w:tcPr>
          <w:p w14:paraId="08F46710" w14:textId="7384FE15" w:rsidR="00A42461" w:rsidRPr="00AB3525" w:rsidRDefault="00A42461" w:rsidP="00760382">
            <w:pPr>
              <w:rPr>
                <w:rFonts w:cs="Segoe UI"/>
                <w:sz w:val="18"/>
                <w:szCs w:val="18"/>
              </w:rPr>
            </w:pPr>
            <w:r>
              <w:rPr>
                <w:rFonts w:cs="Segoe UI"/>
                <w:sz w:val="18"/>
                <w:szCs w:val="18"/>
              </w:rPr>
              <w:t>Loca</w:t>
            </w:r>
            <w:r w:rsidR="00DC4202">
              <w:rPr>
                <w:rFonts w:cs="Segoe UI"/>
                <w:sz w:val="18"/>
                <w:szCs w:val="18"/>
              </w:rPr>
              <w:t>lity</w:t>
            </w:r>
          </w:p>
        </w:tc>
        <w:tc>
          <w:tcPr>
            <w:tcW w:w="2343" w:type="dxa"/>
            <w:shd w:val="clear" w:color="auto" w:fill="BFD4EF" w:themeFill="text1" w:themeFillTint="33"/>
            <w:vAlign w:val="center"/>
          </w:tcPr>
          <w:p w14:paraId="2322771A" w14:textId="77777777" w:rsidR="00A42461" w:rsidRPr="00AB3525"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Commune, Department, Region</w:t>
            </w:r>
          </w:p>
        </w:tc>
        <w:tc>
          <w:tcPr>
            <w:tcW w:w="1312" w:type="dxa"/>
            <w:shd w:val="clear" w:color="auto" w:fill="BFD4EF" w:themeFill="text1" w:themeFillTint="33"/>
            <w:vAlign w:val="center"/>
          </w:tcPr>
          <w:p w14:paraId="7C3FF350" w14:textId="75CA77A6" w:rsidR="00A42461" w:rsidRPr="00AB3525"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 xml:space="preserve"># of HH in </w:t>
            </w:r>
            <w:r w:rsidR="00DC4202">
              <w:rPr>
                <w:rFonts w:cs="Segoe UI"/>
                <w:b/>
                <w:sz w:val="18"/>
                <w:szCs w:val="18"/>
              </w:rPr>
              <w:t>locality</w:t>
            </w:r>
            <w:bookmarkStart w:id="233" w:name="_Ref477516745"/>
            <w:r>
              <w:rPr>
                <w:rStyle w:val="FootnoteReference"/>
                <w:rFonts w:cs="Segoe UI"/>
                <w:b/>
                <w:sz w:val="18"/>
                <w:szCs w:val="18"/>
              </w:rPr>
              <w:footnoteReference w:id="102"/>
            </w:r>
            <w:bookmarkEnd w:id="233"/>
          </w:p>
        </w:tc>
        <w:tc>
          <w:tcPr>
            <w:tcW w:w="1313" w:type="dxa"/>
            <w:shd w:val="clear" w:color="auto" w:fill="BFD4EF" w:themeFill="text1" w:themeFillTint="33"/>
            <w:vAlign w:val="center"/>
          </w:tcPr>
          <w:p w14:paraId="3C664038" w14:textId="12D37759" w:rsidR="00A42461" w:rsidRPr="00AB3525"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 of HH in Commune</w:t>
            </w:r>
            <w:r w:rsidRPr="00D3192F">
              <w:rPr>
                <w:rFonts w:cs="Segoe UI"/>
                <w:b/>
                <w:sz w:val="18"/>
                <w:szCs w:val="18"/>
                <w:vertAlign w:val="superscript"/>
              </w:rPr>
              <w:fldChar w:fldCharType="begin"/>
            </w:r>
            <w:r w:rsidRPr="00D3192F">
              <w:rPr>
                <w:rFonts w:cs="Segoe UI"/>
                <w:b/>
                <w:sz w:val="18"/>
                <w:szCs w:val="18"/>
                <w:vertAlign w:val="superscript"/>
              </w:rPr>
              <w:instrText xml:space="preserve"> NOTEREF _Ref477516745 \h </w:instrText>
            </w:r>
            <w:r>
              <w:rPr>
                <w:rFonts w:cs="Segoe UI"/>
                <w:b/>
                <w:sz w:val="18"/>
                <w:szCs w:val="18"/>
                <w:vertAlign w:val="superscript"/>
              </w:rPr>
              <w:instrText xml:space="preserve"> \* MERGEFORMAT </w:instrText>
            </w:r>
            <w:r w:rsidRPr="00D3192F">
              <w:rPr>
                <w:rFonts w:cs="Segoe UI"/>
                <w:b/>
                <w:sz w:val="18"/>
                <w:szCs w:val="18"/>
                <w:vertAlign w:val="superscript"/>
              </w:rPr>
            </w:r>
            <w:r w:rsidRPr="00D3192F">
              <w:rPr>
                <w:rFonts w:cs="Segoe UI"/>
                <w:b/>
                <w:sz w:val="18"/>
                <w:szCs w:val="18"/>
                <w:vertAlign w:val="superscript"/>
              </w:rPr>
              <w:fldChar w:fldCharType="separate"/>
            </w:r>
            <w:r w:rsidR="000D1C35">
              <w:rPr>
                <w:rFonts w:cs="Segoe UI"/>
                <w:b/>
                <w:sz w:val="18"/>
                <w:szCs w:val="18"/>
                <w:vertAlign w:val="superscript"/>
              </w:rPr>
              <w:t>101</w:t>
            </w:r>
            <w:r w:rsidRPr="00D3192F">
              <w:rPr>
                <w:rFonts w:cs="Segoe UI"/>
                <w:b/>
                <w:sz w:val="18"/>
                <w:szCs w:val="18"/>
                <w:vertAlign w:val="superscript"/>
              </w:rPr>
              <w:fldChar w:fldCharType="end"/>
            </w:r>
          </w:p>
        </w:tc>
        <w:tc>
          <w:tcPr>
            <w:tcW w:w="1467" w:type="dxa"/>
            <w:shd w:val="clear" w:color="auto" w:fill="BFD4EF" w:themeFill="text1" w:themeFillTint="33"/>
            <w:vAlign w:val="center"/>
          </w:tcPr>
          <w:p w14:paraId="39BA7D6F" w14:textId="13AB9C2B" w:rsidR="00A42461" w:rsidRPr="00AB3525"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Lo</w:t>
            </w:r>
            <w:r w:rsidR="00DC4202">
              <w:rPr>
                <w:rFonts w:cs="Segoe UI"/>
                <w:b/>
                <w:sz w:val="18"/>
                <w:szCs w:val="18"/>
              </w:rPr>
              <w:t>cality</w:t>
            </w:r>
            <w:r>
              <w:rPr>
                <w:rFonts w:cs="Segoe UI"/>
                <w:b/>
                <w:sz w:val="18"/>
                <w:szCs w:val="18"/>
              </w:rPr>
              <w:t>: Est. distance from grid in km</w:t>
            </w:r>
          </w:p>
        </w:tc>
        <w:tc>
          <w:tcPr>
            <w:tcW w:w="1300" w:type="dxa"/>
            <w:shd w:val="clear" w:color="auto" w:fill="BFD4EF" w:themeFill="text1" w:themeFillTint="33"/>
          </w:tcPr>
          <w:p w14:paraId="426AE40A" w14:textId="77777777" w:rsidR="00A42461"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Pr>
                <w:rFonts w:cs="Segoe UI"/>
                <w:b/>
                <w:sz w:val="18"/>
                <w:szCs w:val="18"/>
              </w:rPr>
              <w:t>Commune: Est. annual electricity demand</w:t>
            </w:r>
            <w:r>
              <w:rPr>
                <w:rStyle w:val="FootnoteReference"/>
                <w:rFonts w:cs="Segoe UI"/>
                <w:b/>
                <w:sz w:val="18"/>
                <w:szCs w:val="18"/>
              </w:rPr>
              <w:footnoteReference w:id="103"/>
            </w:r>
          </w:p>
        </w:tc>
      </w:tr>
      <w:tr w:rsidR="00A42461" w:rsidRPr="00523A68" w14:paraId="38C8DCDF" w14:textId="77777777" w:rsidTr="00760382">
        <w:trPr>
          <w:trHeight w:val="50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D28487E" w14:textId="77777777" w:rsidR="00A42461" w:rsidRPr="00523A68" w:rsidRDefault="00A42461" w:rsidP="00760382">
            <w:pPr>
              <w:rPr>
                <w:rFonts w:cs="Segoe UI"/>
                <w:sz w:val="18"/>
                <w:szCs w:val="18"/>
              </w:rPr>
            </w:pPr>
            <w:r>
              <w:rPr>
                <w:rFonts w:cs="Segoe UI"/>
                <w:sz w:val="18"/>
                <w:szCs w:val="18"/>
              </w:rPr>
              <w:t>Baban Katami</w:t>
            </w:r>
          </w:p>
        </w:tc>
        <w:tc>
          <w:tcPr>
            <w:tcW w:w="2343" w:type="dxa"/>
            <w:vAlign w:val="center"/>
          </w:tcPr>
          <w:p w14:paraId="4D71D261"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Babankatami, Bouza, Tahoua</w:t>
            </w:r>
          </w:p>
        </w:tc>
        <w:tc>
          <w:tcPr>
            <w:tcW w:w="1312" w:type="dxa"/>
            <w:vAlign w:val="center"/>
          </w:tcPr>
          <w:p w14:paraId="22A0AD74"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680</w:t>
            </w:r>
          </w:p>
        </w:tc>
        <w:tc>
          <w:tcPr>
            <w:tcW w:w="1313" w:type="dxa"/>
            <w:vAlign w:val="center"/>
          </w:tcPr>
          <w:p w14:paraId="092B094B"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8,968</w:t>
            </w:r>
          </w:p>
        </w:tc>
        <w:tc>
          <w:tcPr>
            <w:tcW w:w="1467" w:type="dxa"/>
            <w:vAlign w:val="center"/>
          </w:tcPr>
          <w:p w14:paraId="53104708"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23 km</w:t>
            </w:r>
          </w:p>
        </w:tc>
        <w:tc>
          <w:tcPr>
            <w:tcW w:w="1300" w:type="dxa"/>
            <w:vAlign w:val="center"/>
          </w:tcPr>
          <w:p w14:paraId="3281CE01" w14:textId="77777777" w:rsidR="00A42461" w:rsidRPr="004F765A"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vertAlign w:val="superscript"/>
              </w:rPr>
            </w:pPr>
            <w:r w:rsidRPr="004F765A">
              <w:rPr>
                <w:rFonts w:cs="Segoe UI"/>
                <w:sz w:val="18"/>
                <w:szCs w:val="18"/>
              </w:rPr>
              <w:t xml:space="preserve"> 15-20 GWh</w:t>
            </w:r>
          </w:p>
        </w:tc>
      </w:tr>
      <w:tr w:rsidR="00A42461" w:rsidRPr="00523A68" w14:paraId="02F6E9D5" w14:textId="77777777" w:rsidTr="00760382">
        <w:trPr>
          <w:trHeight w:val="50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0CCE2F0E" w14:textId="77777777" w:rsidR="00A42461" w:rsidRPr="00523A68" w:rsidRDefault="00A42461" w:rsidP="00760382">
            <w:pPr>
              <w:rPr>
                <w:rFonts w:cs="Segoe UI"/>
                <w:sz w:val="18"/>
                <w:szCs w:val="18"/>
              </w:rPr>
            </w:pPr>
            <w:r>
              <w:rPr>
                <w:rFonts w:cs="Segoe UI"/>
                <w:sz w:val="18"/>
                <w:szCs w:val="18"/>
              </w:rPr>
              <w:t>Baboul</w:t>
            </w:r>
          </w:p>
        </w:tc>
        <w:tc>
          <w:tcPr>
            <w:tcW w:w="2343" w:type="dxa"/>
            <w:vAlign w:val="center"/>
          </w:tcPr>
          <w:p w14:paraId="5CEFEFF8"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xml:space="preserve">Wame, Damagaram Takaya, Zinder </w:t>
            </w:r>
          </w:p>
        </w:tc>
        <w:tc>
          <w:tcPr>
            <w:tcW w:w="1312" w:type="dxa"/>
            <w:vAlign w:val="center"/>
          </w:tcPr>
          <w:p w14:paraId="7BD5ECA9"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542</w:t>
            </w:r>
          </w:p>
        </w:tc>
        <w:tc>
          <w:tcPr>
            <w:tcW w:w="1313" w:type="dxa"/>
            <w:vAlign w:val="center"/>
          </w:tcPr>
          <w:p w14:paraId="58E4FAFE"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6,924</w:t>
            </w:r>
          </w:p>
        </w:tc>
        <w:tc>
          <w:tcPr>
            <w:tcW w:w="1467" w:type="dxa"/>
            <w:vAlign w:val="center"/>
          </w:tcPr>
          <w:p w14:paraId="637DB5D1"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22 km</w:t>
            </w:r>
          </w:p>
        </w:tc>
        <w:tc>
          <w:tcPr>
            <w:tcW w:w="1300" w:type="dxa"/>
            <w:vAlign w:val="center"/>
          </w:tcPr>
          <w:p w14:paraId="68B50111" w14:textId="77777777" w:rsidR="00A42461"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10-15 GWh</w:t>
            </w:r>
          </w:p>
        </w:tc>
      </w:tr>
      <w:tr w:rsidR="00A42461" w:rsidRPr="00523A68" w14:paraId="38F6952F" w14:textId="77777777" w:rsidTr="00760382">
        <w:trPr>
          <w:trHeight w:val="505"/>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55753F22" w14:textId="77777777" w:rsidR="00A42461" w:rsidRDefault="00A42461" w:rsidP="00760382">
            <w:pPr>
              <w:rPr>
                <w:rFonts w:cs="Segoe UI"/>
                <w:sz w:val="18"/>
                <w:szCs w:val="18"/>
              </w:rPr>
            </w:pPr>
            <w:r>
              <w:rPr>
                <w:rFonts w:cs="Segoe UI"/>
                <w:sz w:val="18"/>
                <w:szCs w:val="18"/>
              </w:rPr>
              <w:t>Guidan Djibo</w:t>
            </w:r>
          </w:p>
        </w:tc>
        <w:tc>
          <w:tcPr>
            <w:tcW w:w="2343" w:type="dxa"/>
            <w:vAlign w:val="center"/>
          </w:tcPr>
          <w:p w14:paraId="0E03E262" w14:textId="77777777" w:rsidR="00A42461"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Tabotaki, Bouza, Tahoua</w:t>
            </w:r>
          </w:p>
        </w:tc>
        <w:tc>
          <w:tcPr>
            <w:tcW w:w="1312" w:type="dxa"/>
            <w:vAlign w:val="center"/>
          </w:tcPr>
          <w:p w14:paraId="46108AB7"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599</w:t>
            </w:r>
          </w:p>
        </w:tc>
        <w:tc>
          <w:tcPr>
            <w:tcW w:w="1313" w:type="dxa"/>
            <w:vAlign w:val="center"/>
          </w:tcPr>
          <w:p w14:paraId="03A66267" w14:textId="77777777" w:rsidR="00A42461" w:rsidRPr="00F94F53"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7,305</w:t>
            </w:r>
          </w:p>
        </w:tc>
        <w:tc>
          <w:tcPr>
            <w:tcW w:w="1467" w:type="dxa"/>
            <w:vAlign w:val="center"/>
          </w:tcPr>
          <w:p w14:paraId="2119CDAE" w14:textId="77777777" w:rsidR="00A42461"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 27 km</w:t>
            </w:r>
          </w:p>
        </w:tc>
        <w:tc>
          <w:tcPr>
            <w:tcW w:w="1300" w:type="dxa"/>
            <w:vAlign w:val="center"/>
          </w:tcPr>
          <w:p w14:paraId="75F451E4" w14:textId="77777777" w:rsidR="00A42461" w:rsidRDefault="00A42461" w:rsidP="00760382">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10-15 GWh</w:t>
            </w:r>
          </w:p>
        </w:tc>
      </w:tr>
    </w:tbl>
    <w:p w14:paraId="66C60191" w14:textId="77777777" w:rsidR="00A42461" w:rsidRDefault="00A42461" w:rsidP="00A42461">
      <w:pPr>
        <w:jc w:val="both"/>
        <w:rPr>
          <w:rFonts w:cs="Segoe UI"/>
          <w:lang w:val="en-GB"/>
        </w:rPr>
      </w:pPr>
    </w:p>
    <w:p w14:paraId="5536FB2E" w14:textId="3C1BE53D" w:rsidR="00A42461" w:rsidRDefault="00A42461" w:rsidP="00A42461">
      <w:pPr>
        <w:jc w:val="both"/>
        <w:rPr>
          <w:rFonts w:cs="Segoe UI"/>
          <w:lang w:val="en-GB"/>
        </w:rPr>
      </w:pPr>
      <w:r>
        <w:rPr>
          <w:rFonts w:cs="Segoe UI"/>
          <w:lang w:val="en-GB"/>
        </w:rPr>
        <w:t xml:space="preserve">These three </w:t>
      </w:r>
      <w:r w:rsidR="00DC4202">
        <w:rPr>
          <w:rFonts w:cs="Segoe UI"/>
          <w:lang w:val="en-GB"/>
        </w:rPr>
        <w:t>localities</w:t>
      </w:r>
      <w:r>
        <w:rPr>
          <w:rFonts w:cs="Segoe UI"/>
          <w:lang w:val="en-GB"/>
        </w:rPr>
        <w:t xml:space="preserve"> are relatively small, with the number of households ranging from 542 to 680 based on the RENALOC data, and would, if at all, only be suited for relatively small, community-level mini-grids. Assuming that the average per household energy consumption at commune level – public institutions, irrigation, water provision included – is representative of energy demand in these </w:t>
      </w:r>
      <w:r w:rsidR="00DC4202">
        <w:rPr>
          <w:rFonts w:cs="Segoe UI"/>
          <w:lang w:val="en-GB"/>
        </w:rPr>
        <w:t>localities</w:t>
      </w:r>
      <w:r>
        <w:rPr>
          <w:rFonts w:cs="Segoe UI"/>
          <w:lang w:val="en-GB"/>
        </w:rPr>
        <w:t>, we estimate the annual demand at around 1,300 MWh in Baban Katami, and around 1,000 MWh in both Baboul and Guidan Djibo. Further analysis will be required to assess the economic viability of mini-grids at these sites.</w:t>
      </w:r>
    </w:p>
    <w:p w14:paraId="394EF5F1" w14:textId="4C505F8D" w:rsidR="00A42461" w:rsidRDefault="00A42461" w:rsidP="00A42461">
      <w:pPr>
        <w:jc w:val="both"/>
        <w:rPr>
          <w:rFonts w:cs="Segoe UI"/>
          <w:lang w:val="en-GB"/>
        </w:rPr>
      </w:pPr>
      <w:r>
        <w:rPr>
          <w:rFonts w:cs="Segoe UI"/>
          <w:lang w:val="en-GB"/>
        </w:rPr>
        <w:t>Also, as our analysis is purely based on the number of households and the estimated energy demand within loca</w:t>
      </w:r>
      <w:r w:rsidR="00DC4202">
        <w:rPr>
          <w:rFonts w:cs="Segoe UI"/>
          <w:lang w:val="en-GB"/>
        </w:rPr>
        <w:t>lities</w:t>
      </w:r>
      <w:r>
        <w:rPr>
          <w:rFonts w:cs="Segoe UI"/>
          <w:lang w:val="en-GB"/>
        </w:rPr>
        <w:t>, further research needs to be performed around the following criteria to assess which site is best suited for construction of mini-grids:</w:t>
      </w:r>
      <w:r>
        <w:rPr>
          <w:rStyle w:val="FootnoteReference"/>
          <w:rFonts w:cs="Segoe UI"/>
          <w:lang w:val="en-GB"/>
        </w:rPr>
        <w:footnoteReference w:id="104"/>
      </w:r>
    </w:p>
    <w:p w14:paraId="253DFD69" w14:textId="6B4E60E8" w:rsidR="00A42461" w:rsidRDefault="00A42461" w:rsidP="00A42461">
      <w:pPr>
        <w:jc w:val="both"/>
        <w:rPr>
          <w:rFonts w:cs="Segoe UI"/>
          <w:lang w:val="en-GB"/>
        </w:rPr>
      </w:pPr>
      <w:r w:rsidRPr="00E60F02">
        <w:rPr>
          <w:rFonts w:cs="Segoe UI"/>
          <w:b/>
          <w:lang w:val="en-GB"/>
        </w:rPr>
        <w:t>Density of demand.</w:t>
      </w:r>
      <w:r>
        <w:rPr>
          <w:rFonts w:cs="Segoe UI"/>
          <w:lang w:val="en-GB"/>
        </w:rPr>
        <w:t xml:space="preserve"> As surface area data is not available below Department-level, we have no indication of the density of demand at each </w:t>
      </w:r>
      <w:r w:rsidR="00DC4202">
        <w:rPr>
          <w:rFonts w:cs="Segoe UI"/>
          <w:lang w:val="en-GB"/>
        </w:rPr>
        <w:t>locality</w:t>
      </w:r>
      <w:r>
        <w:rPr>
          <w:rFonts w:cs="Segoe UI"/>
          <w:lang w:val="en-GB"/>
        </w:rPr>
        <w:t xml:space="preserve">. Potentially, these </w:t>
      </w:r>
      <w:r w:rsidR="00DC4202">
        <w:rPr>
          <w:rFonts w:cs="Segoe UI"/>
          <w:lang w:val="en-GB"/>
        </w:rPr>
        <w:t>localities</w:t>
      </w:r>
      <w:r>
        <w:rPr>
          <w:rFonts w:cs="Segoe UI"/>
          <w:lang w:val="en-GB"/>
        </w:rPr>
        <w:t xml:space="preserve"> are highly dense villages (i.e. all houses and other buildings are very close), but alternatively a </w:t>
      </w:r>
      <w:r w:rsidR="00DC4202">
        <w:rPr>
          <w:rFonts w:cs="Segoe UI"/>
          <w:lang w:val="en-GB"/>
        </w:rPr>
        <w:t>locality</w:t>
      </w:r>
      <w:r>
        <w:rPr>
          <w:rFonts w:cs="Segoe UI"/>
          <w:lang w:val="en-GB"/>
        </w:rPr>
        <w:t xml:space="preserve"> could also stretch over many hectares of widely spread out farms.</w:t>
      </w:r>
    </w:p>
    <w:p w14:paraId="562F7D56" w14:textId="77777777" w:rsidR="00A42461" w:rsidRDefault="00A42461" w:rsidP="00A42461">
      <w:pPr>
        <w:jc w:val="both"/>
        <w:rPr>
          <w:rFonts w:cs="Segoe UI"/>
          <w:lang w:val="en-GB"/>
        </w:rPr>
      </w:pPr>
      <w:r w:rsidRPr="00514276">
        <w:rPr>
          <w:rFonts w:cs="Segoe UI"/>
          <w:b/>
          <w:lang w:val="en-GB"/>
        </w:rPr>
        <w:t xml:space="preserve">Poverty and income levels. </w:t>
      </w:r>
      <w:r>
        <w:rPr>
          <w:rFonts w:cs="Segoe UI"/>
          <w:lang w:val="en-GB"/>
        </w:rPr>
        <w:t xml:space="preserve">Economic feasibility and sustainability is determined not only by the existence of demand, but also by the client’s ability to pay for the electricity services demanded. Poverty and income </w:t>
      </w:r>
      <w:r>
        <w:rPr>
          <w:rFonts w:cs="Segoe UI"/>
          <w:lang w:val="en-GB"/>
        </w:rPr>
        <w:lastRenderedPageBreak/>
        <w:t>levels will directly affect pricing; the lower the prices per kWh, the longer the amortization period for upfront capital investment in the mini-grid.</w:t>
      </w:r>
    </w:p>
    <w:p w14:paraId="76E81E10" w14:textId="67CE45F2" w:rsidR="00A42461" w:rsidRDefault="00A42461" w:rsidP="00A42461">
      <w:pPr>
        <w:jc w:val="both"/>
        <w:rPr>
          <w:rFonts w:cs="Segoe UI"/>
          <w:lang w:val="en-GB"/>
        </w:rPr>
      </w:pPr>
      <w:r w:rsidRPr="00514276">
        <w:rPr>
          <w:rFonts w:cs="Segoe UI"/>
          <w:b/>
          <w:lang w:val="en-GB"/>
        </w:rPr>
        <w:t>Economic activities.</w:t>
      </w:r>
      <w:r>
        <w:rPr>
          <w:rFonts w:cs="Segoe UI"/>
          <w:lang w:val="en-GB"/>
        </w:rPr>
        <w:t xml:space="preserve"> An on-site visit will be required to fully assess the economic activities conducted in the </w:t>
      </w:r>
      <w:r w:rsidR="00DC4202">
        <w:rPr>
          <w:rFonts w:cs="Segoe UI"/>
          <w:lang w:val="en-GB"/>
        </w:rPr>
        <w:t>locality</w:t>
      </w:r>
      <w:r>
        <w:rPr>
          <w:rFonts w:cs="Segoe UI"/>
          <w:lang w:val="en-GB"/>
        </w:rPr>
        <w:t xml:space="preserve">. This information will be required to estimate electricity demand more precisely and is therefore key to determine the ideal capacity for the mini-grid. </w:t>
      </w:r>
    </w:p>
    <w:p w14:paraId="41D63324" w14:textId="43D42174" w:rsidR="00A42461" w:rsidRDefault="00A42461" w:rsidP="00A42461">
      <w:pPr>
        <w:jc w:val="both"/>
        <w:rPr>
          <w:rFonts w:cs="Segoe UI"/>
          <w:lang w:val="en-GB"/>
        </w:rPr>
      </w:pPr>
      <w:r w:rsidRPr="009E6FC6">
        <w:rPr>
          <w:rFonts w:cs="Segoe UI"/>
          <w:b/>
          <w:lang w:val="en-GB"/>
        </w:rPr>
        <w:t>Infrastructure and accessibility.</w:t>
      </w:r>
      <w:r>
        <w:rPr>
          <w:rFonts w:cs="Segoe UI"/>
          <w:lang w:val="en-GB"/>
        </w:rPr>
        <w:t xml:space="preserve"> If the infrastructure connecting the </w:t>
      </w:r>
      <w:r w:rsidR="00DC4202">
        <w:rPr>
          <w:rFonts w:cs="Segoe UI"/>
          <w:lang w:val="en-GB"/>
        </w:rPr>
        <w:t>locality</w:t>
      </w:r>
      <w:r>
        <w:rPr>
          <w:rFonts w:cs="Segoe UI"/>
          <w:lang w:val="en-GB"/>
        </w:rPr>
        <w:t xml:space="preserve"> to main roads is limited, and consequently the </w:t>
      </w:r>
      <w:r w:rsidR="00DC4202">
        <w:rPr>
          <w:rFonts w:cs="Segoe UI"/>
          <w:lang w:val="en-GB"/>
        </w:rPr>
        <w:t xml:space="preserve">locality </w:t>
      </w:r>
      <w:r>
        <w:rPr>
          <w:rFonts w:cs="Segoe UI"/>
          <w:lang w:val="en-GB"/>
        </w:rPr>
        <w:t xml:space="preserve">is hard to access, this can have significant cost impacts, both on initial investment cost and ongoing operating cost.  </w:t>
      </w:r>
    </w:p>
    <w:p w14:paraId="5174B223" w14:textId="33D88915" w:rsidR="00A42461" w:rsidRDefault="00A42461" w:rsidP="00A42461">
      <w:pPr>
        <w:jc w:val="both"/>
        <w:rPr>
          <w:rFonts w:cs="Segoe UI"/>
          <w:lang w:val="en-GB"/>
        </w:rPr>
      </w:pPr>
      <w:r w:rsidRPr="004D7C62">
        <w:rPr>
          <w:rFonts w:cs="Segoe UI"/>
          <w:b/>
          <w:lang w:val="en-GB"/>
        </w:rPr>
        <w:t>Security situation.</w:t>
      </w:r>
      <w:r>
        <w:rPr>
          <w:rFonts w:cs="Segoe UI"/>
          <w:lang w:val="en-GB"/>
        </w:rPr>
        <w:t xml:space="preserve"> If the geographic area is not considered safe, it will be very hard to attract private sector interest in investing, and managing, a mini-grid in the </w:t>
      </w:r>
      <w:r w:rsidR="007242E3">
        <w:rPr>
          <w:rFonts w:cs="Segoe UI"/>
          <w:lang w:val="en-GB"/>
        </w:rPr>
        <w:t>locality</w:t>
      </w:r>
      <w:r>
        <w:rPr>
          <w:rFonts w:cs="Segoe UI"/>
          <w:lang w:val="en-GB"/>
        </w:rPr>
        <w:t>.</w:t>
      </w:r>
    </w:p>
    <w:p w14:paraId="04E2BC30" w14:textId="77777777" w:rsidR="00A42461" w:rsidRDefault="00A42461" w:rsidP="00A42461">
      <w:pPr>
        <w:jc w:val="both"/>
        <w:rPr>
          <w:rFonts w:cs="Segoe UI"/>
          <w:lang w:val="en-GB"/>
        </w:rPr>
      </w:pPr>
      <w:r w:rsidRPr="00561D39">
        <w:rPr>
          <w:rFonts w:cs="Segoe UI"/>
          <w:b/>
          <w:lang w:val="en-GB"/>
        </w:rPr>
        <w:t>Availability of land and land ownership rights.</w:t>
      </w:r>
      <w:r>
        <w:rPr>
          <w:rFonts w:cs="Segoe UI"/>
          <w:lang w:val="en-GB"/>
        </w:rPr>
        <w:t xml:space="preserve"> Constructing a mini-grid requires available land in a convenient site with easy access to the key energy demand centres. Further, constructing a mini-grid represents a significant investment, which is only considered safe to be made if land ownership rights are clearly defined and acceptable.</w:t>
      </w:r>
    </w:p>
    <w:p w14:paraId="095A3E41" w14:textId="29ED3039" w:rsidR="00A42461" w:rsidRPr="00D72AA6" w:rsidRDefault="00A42461" w:rsidP="00A42461">
      <w:pPr>
        <w:jc w:val="both"/>
        <w:rPr>
          <w:rFonts w:cs="Segoe UI"/>
          <w:lang w:val="en-GB"/>
        </w:rPr>
      </w:pPr>
      <w:r w:rsidRPr="00F550EC">
        <w:rPr>
          <w:rFonts w:cs="Segoe UI"/>
          <w:b/>
          <w:lang w:val="en-GB"/>
        </w:rPr>
        <w:t>Grid extension plans.</w:t>
      </w:r>
      <w:r>
        <w:rPr>
          <w:rFonts w:cs="Segoe UI"/>
          <w:lang w:val="en-GB"/>
        </w:rPr>
        <w:t xml:space="preserve"> While we have high-level information on which major towns the planned grid extensions will cover, the exact ‘path of the grid’ is often not yet determined and/or unknown to us. </w:t>
      </w:r>
      <w:r w:rsidR="007242E3">
        <w:rPr>
          <w:rFonts w:cs="Segoe UI"/>
          <w:lang w:val="en-GB"/>
        </w:rPr>
        <w:t>Localities</w:t>
      </w:r>
      <w:r>
        <w:rPr>
          <w:rFonts w:cs="Segoe UI"/>
          <w:lang w:val="en-GB"/>
        </w:rPr>
        <w:t xml:space="preserve"> that will be close to the grid in the short- to medium-term future are not necessarily the ideal sites for mini-grid construction.   </w:t>
      </w:r>
    </w:p>
    <w:p w14:paraId="14A2BFEF" w14:textId="6C782A02" w:rsidR="00C46088" w:rsidRDefault="00C46088" w:rsidP="00C46088">
      <w:pPr>
        <w:pStyle w:val="Normal15"/>
        <w:rPr>
          <w:rFonts w:ascii="Segoe UI" w:hAnsi="Segoe UI" w:cs="Segoe UI"/>
          <w:lang w:val="en-GB"/>
        </w:rPr>
      </w:pPr>
    </w:p>
    <w:p w14:paraId="37321B33" w14:textId="77777777" w:rsidR="00C51B0E" w:rsidRDefault="00C51B0E">
      <w:pPr>
        <w:rPr>
          <w:rFonts w:eastAsiaTheme="majorEastAsia" w:cs="Segoe UI"/>
          <w:b/>
          <w:bCs/>
          <w:color w:val="407A82" w:themeColor="accent1" w:themeShade="80"/>
          <w:sz w:val="26"/>
          <w:szCs w:val="26"/>
        </w:rPr>
      </w:pPr>
      <w:r>
        <w:rPr>
          <w:sz w:val="26"/>
          <w:szCs w:val="26"/>
        </w:rPr>
        <w:br w:type="page"/>
      </w:r>
    </w:p>
    <w:p w14:paraId="737DF3AB" w14:textId="33469E42" w:rsidR="007A76CB" w:rsidRPr="008544A8" w:rsidRDefault="00001EA5" w:rsidP="008544A8">
      <w:pPr>
        <w:pStyle w:val="H1NEWreportStyle"/>
        <w:numPr>
          <w:ilvl w:val="0"/>
          <w:numId w:val="0"/>
        </w:numPr>
        <w:ind w:left="576" w:hanging="576"/>
        <w:rPr>
          <w:sz w:val="26"/>
          <w:szCs w:val="26"/>
        </w:rPr>
      </w:pPr>
      <w:bookmarkStart w:id="234" w:name="_Toc501097061"/>
      <w:r w:rsidRPr="00363F8D">
        <w:rPr>
          <w:sz w:val="26"/>
          <w:szCs w:val="26"/>
        </w:rPr>
        <w:lastRenderedPageBreak/>
        <w:t>App</w:t>
      </w:r>
      <w:r>
        <w:rPr>
          <w:sz w:val="26"/>
          <w:szCs w:val="26"/>
        </w:rPr>
        <w:t>. B: Methodology</w:t>
      </w:r>
      <w:r w:rsidR="00E11A3B">
        <w:rPr>
          <w:sz w:val="26"/>
          <w:szCs w:val="26"/>
        </w:rPr>
        <w:t xml:space="preserve"> &amp; assumptions used for market sizing</w:t>
      </w:r>
      <w:bookmarkEnd w:id="234"/>
    </w:p>
    <w:p w14:paraId="203B1600" w14:textId="24FFC6C0" w:rsidR="007A76CB" w:rsidRPr="00955049" w:rsidRDefault="007A76CB" w:rsidP="007A76CB">
      <w:pPr>
        <w:pStyle w:val="H2NEWreportStyle"/>
        <w:numPr>
          <w:ilvl w:val="0"/>
          <w:numId w:val="0"/>
        </w:numPr>
        <w:ind w:left="936" w:hanging="792"/>
      </w:pPr>
      <w:bookmarkStart w:id="235" w:name="_Toc501097062"/>
      <w:r>
        <w:t>B.1 Households</w:t>
      </w:r>
      <w:bookmarkEnd w:id="235"/>
    </w:p>
    <w:p w14:paraId="605F9567" w14:textId="77777777" w:rsidR="007A76CB" w:rsidRPr="0064679B" w:rsidRDefault="007A76CB" w:rsidP="007A76CB">
      <w:pPr>
        <w:jc w:val="both"/>
        <w:rPr>
          <w:rFonts w:cs="Segoe UI"/>
        </w:rPr>
      </w:pPr>
      <w:r w:rsidRPr="0064679B">
        <w:rPr>
          <w:rFonts w:cs="Segoe UI"/>
        </w:rPr>
        <w:t>We determine the potential market for household solar products in Niger as follows:</w:t>
      </w:r>
    </w:p>
    <w:p w14:paraId="4DF37C64" w14:textId="77777777" w:rsidR="007A76CB" w:rsidRPr="0064679B" w:rsidRDefault="007A76CB" w:rsidP="007A76CB">
      <w:pPr>
        <w:numPr>
          <w:ilvl w:val="0"/>
          <w:numId w:val="5"/>
        </w:numPr>
        <w:spacing w:before="120" w:after="120"/>
        <w:jc w:val="both"/>
        <w:rPr>
          <w:rFonts w:cs="Segoe UI"/>
        </w:rPr>
      </w:pPr>
      <w:r w:rsidRPr="0064679B">
        <w:rPr>
          <w:rFonts w:cs="Segoe UI"/>
        </w:rPr>
        <w:t>Extrapolate the number of households by commune from RENALOC data using the 2015 total population size for Niger from the World Bank Development Indicators database and the national average household size from LSMS data</w:t>
      </w:r>
    </w:p>
    <w:p w14:paraId="10F7D85B" w14:textId="77777777" w:rsidR="007A76CB" w:rsidRPr="0064679B" w:rsidRDefault="007A76CB" w:rsidP="007A76CB">
      <w:pPr>
        <w:numPr>
          <w:ilvl w:val="0"/>
          <w:numId w:val="5"/>
        </w:numPr>
        <w:spacing w:before="120" w:after="120"/>
        <w:jc w:val="both"/>
        <w:rPr>
          <w:rFonts w:cs="Segoe UI"/>
        </w:rPr>
      </w:pPr>
      <w:r w:rsidRPr="0064679B">
        <w:rPr>
          <w:rFonts w:cs="Segoe UI"/>
        </w:rPr>
        <w:t>Determine current expenditure on energy-related items from LSMS data at strata level (i.e. Niamey, autre urban, agricole, pastorale, agropastorale)</w:t>
      </w:r>
    </w:p>
    <w:p w14:paraId="0F33CE3D" w14:textId="77777777" w:rsidR="007A76CB" w:rsidRPr="0064679B" w:rsidRDefault="007A76CB" w:rsidP="007A76CB">
      <w:pPr>
        <w:numPr>
          <w:ilvl w:val="0"/>
          <w:numId w:val="5"/>
        </w:numPr>
        <w:spacing w:before="120" w:after="120"/>
        <w:jc w:val="both"/>
        <w:rPr>
          <w:rFonts w:cs="Segoe UI"/>
        </w:rPr>
      </w:pPr>
      <w:r w:rsidRPr="0064679B">
        <w:rPr>
          <w:rFonts w:cs="Segoe UI"/>
        </w:rPr>
        <w:t>Determine each Commune’s strata</w:t>
      </w:r>
    </w:p>
    <w:p w14:paraId="517BAFF5" w14:textId="77777777" w:rsidR="007A76CB" w:rsidRPr="0064679B" w:rsidRDefault="007A76CB" w:rsidP="007A76CB">
      <w:pPr>
        <w:numPr>
          <w:ilvl w:val="0"/>
          <w:numId w:val="5"/>
        </w:numPr>
        <w:spacing w:before="120" w:after="120"/>
        <w:jc w:val="both"/>
        <w:rPr>
          <w:rFonts w:cs="Segoe UI"/>
        </w:rPr>
      </w:pPr>
      <w:r w:rsidRPr="0064679B">
        <w:rPr>
          <w:rFonts w:cs="Segoe UI"/>
        </w:rPr>
        <w:t>Multiply number of households in a Commune with the average household energy expenditure for the relevant strata to determine total household energy expenditure for the Commune</w:t>
      </w:r>
    </w:p>
    <w:p w14:paraId="111A33E1" w14:textId="77777777" w:rsidR="007A76CB" w:rsidRPr="0064679B" w:rsidRDefault="007A76CB" w:rsidP="007A76CB">
      <w:pPr>
        <w:numPr>
          <w:ilvl w:val="0"/>
          <w:numId w:val="5"/>
        </w:numPr>
        <w:spacing w:before="120" w:after="120"/>
        <w:jc w:val="both"/>
        <w:rPr>
          <w:rFonts w:cs="Segoe UI"/>
        </w:rPr>
      </w:pPr>
      <w:r w:rsidRPr="0064679B">
        <w:rPr>
          <w:rFonts w:cs="Segoe UI"/>
        </w:rPr>
        <w:t>Use Region-level household poverty data to estimate household energy expenditure of households living in poverty for each Commune, and subtract this from total Commune household energy expenditure</w:t>
      </w:r>
    </w:p>
    <w:p w14:paraId="35450B77" w14:textId="77777777" w:rsidR="007A76CB" w:rsidRPr="0064679B" w:rsidRDefault="007A76CB" w:rsidP="007A76CB">
      <w:pPr>
        <w:numPr>
          <w:ilvl w:val="0"/>
          <w:numId w:val="5"/>
        </w:numPr>
        <w:spacing w:before="120" w:after="120"/>
        <w:jc w:val="both"/>
        <w:rPr>
          <w:rFonts w:cs="Segoe UI"/>
        </w:rPr>
      </w:pPr>
      <w:r w:rsidRPr="0064679B">
        <w:rPr>
          <w:rFonts w:cs="Segoe UI"/>
        </w:rPr>
        <w:t>Use strata-level household expenditure distribution (divided into deciles) to estimate energy consumption distribution of households above the poverty line in each Commune</w:t>
      </w:r>
    </w:p>
    <w:p w14:paraId="34D5AE12" w14:textId="77777777" w:rsidR="007A76CB" w:rsidRPr="0064679B" w:rsidRDefault="007A76CB" w:rsidP="007A76CB">
      <w:pPr>
        <w:numPr>
          <w:ilvl w:val="0"/>
          <w:numId w:val="5"/>
        </w:numPr>
        <w:spacing w:before="120" w:after="120"/>
        <w:jc w:val="both"/>
        <w:rPr>
          <w:rFonts w:cs="Segoe UI"/>
        </w:rPr>
      </w:pPr>
      <w:r w:rsidRPr="0064679B">
        <w:rPr>
          <w:rFonts w:cs="Segoe UI"/>
        </w:rPr>
        <w:t>Based on this energy consumption distribution, derive market opportunity for a range of solar lanterns and solar home systems, as well as pricing guidelines for mini-grids; this includes both financed (i.e. PAYG) and non-financed (i.e. over-the-counter) markets</w:t>
      </w:r>
    </w:p>
    <w:p w14:paraId="0483BA37" w14:textId="77777777" w:rsidR="007A76CB" w:rsidRPr="0064679B" w:rsidRDefault="007A76CB" w:rsidP="007A76CB">
      <w:pPr>
        <w:numPr>
          <w:ilvl w:val="0"/>
          <w:numId w:val="5"/>
        </w:numPr>
        <w:spacing w:before="120" w:after="120"/>
        <w:jc w:val="both"/>
        <w:rPr>
          <w:rFonts w:cs="Segoe UI"/>
        </w:rPr>
      </w:pPr>
      <w:r w:rsidRPr="0064679B">
        <w:rPr>
          <w:rFonts w:cs="Segoe UI"/>
        </w:rPr>
        <w:t>Perform geographic mapping of population and household energy demand</w:t>
      </w:r>
    </w:p>
    <w:p w14:paraId="4C8B8302" w14:textId="77777777" w:rsidR="007A76CB" w:rsidRPr="0064679B" w:rsidRDefault="007A76CB" w:rsidP="007A76CB">
      <w:pPr>
        <w:numPr>
          <w:ilvl w:val="0"/>
          <w:numId w:val="5"/>
        </w:numPr>
        <w:spacing w:before="120" w:after="120"/>
        <w:jc w:val="both"/>
        <w:rPr>
          <w:rFonts w:cs="Segoe UI"/>
        </w:rPr>
      </w:pPr>
      <w:r w:rsidRPr="0064679B">
        <w:rPr>
          <w:rFonts w:cs="Segoe UI"/>
        </w:rPr>
        <w:t xml:space="preserve">Contrast current expenditure on lighting-related products and phone charging with the cost of solar products to determine lifetime and annualized consumer benefits of investment in solar products, as well as payback periods </w:t>
      </w:r>
    </w:p>
    <w:p w14:paraId="3710A965" w14:textId="77777777" w:rsidR="007A76CB" w:rsidRPr="0064679B" w:rsidRDefault="007A76CB" w:rsidP="007A76CB">
      <w:pPr>
        <w:jc w:val="both"/>
        <w:rPr>
          <w:rFonts w:cs="Segoe UI"/>
        </w:rPr>
      </w:pPr>
      <w:r w:rsidRPr="0064679B">
        <w:rPr>
          <w:rFonts w:cs="Segoe UI"/>
        </w:rPr>
        <w:t xml:space="preserve">For the purpose of this analysis, we make the following assumptions: </w:t>
      </w:r>
    </w:p>
    <w:p w14:paraId="153F53AC" w14:textId="77777777" w:rsidR="007A76CB" w:rsidRPr="0064679B" w:rsidRDefault="007A76CB" w:rsidP="007A76CB">
      <w:pPr>
        <w:numPr>
          <w:ilvl w:val="0"/>
          <w:numId w:val="6"/>
        </w:numPr>
        <w:spacing w:before="120" w:after="120"/>
        <w:jc w:val="both"/>
        <w:rPr>
          <w:rFonts w:cs="Segoe UI"/>
        </w:rPr>
      </w:pPr>
      <w:r w:rsidRPr="0064679B">
        <w:rPr>
          <w:rFonts w:cs="Segoe UI"/>
        </w:rPr>
        <w:t>Average monthly household expenditure for traditional energy-related products equates to willingness-to-pay for solar products</w:t>
      </w:r>
    </w:p>
    <w:p w14:paraId="3979A801" w14:textId="77777777" w:rsidR="007A76CB" w:rsidRPr="0064679B" w:rsidRDefault="007A76CB" w:rsidP="007A76CB">
      <w:pPr>
        <w:numPr>
          <w:ilvl w:val="0"/>
          <w:numId w:val="6"/>
        </w:numPr>
        <w:spacing w:before="120" w:after="120"/>
        <w:jc w:val="both"/>
        <w:rPr>
          <w:rFonts w:cs="Segoe UI"/>
        </w:rPr>
      </w:pPr>
      <w:r w:rsidRPr="0064679B">
        <w:rPr>
          <w:rFonts w:cs="Segoe UI"/>
        </w:rPr>
        <w:t xml:space="preserve">Households are able to spend up to three times their current monthly energy expenditure on one-off cash purchases or on upfront payments required for consumer financing; households’ willingness to save for a purchase was confirmed in the focus groups </w:t>
      </w:r>
    </w:p>
    <w:p w14:paraId="0B2F02E3" w14:textId="77777777" w:rsidR="007A76CB" w:rsidRPr="0064679B" w:rsidRDefault="007A76CB" w:rsidP="007A76CB">
      <w:pPr>
        <w:numPr>
          <w:ilvl w:val="0"/>
          <w:numId w:val="6"/>
        </w:numPr>
        <w:spacing w:before="120" w:after="120"/>
        <w:jc w:val="both"/>
        <w:rPr>
          <w:rFonts w:cs="Segoe UI"/>
        </w:rPr>
      </w:pPr>
      <w:r w:rsidRPr="0064679B">
        <w:rPr>
          <w:rFonts w:cs="Segoe UI"/>
        </w:rPr>
        <w:t>Each household purchases the most expensive home solar product it can afford from three months of savings, and each household only owns one unit at any given time</w:t>
      </w:r>
    </w:p>
    <w:p w14:paraId="258E6DBF" w14:textId="0E5C8E21" w:rsidR="007A76CB" w:rsidRPr="00C8011C" w:rsidRDefault="007A76CB" w:rsidP="007A76CB">
      <w:pPr>
        <w:numPr>
          <w:ilvl w:val="0"/>
          <w:numId w:val="6"/>
        </w:numPr>
        <w:spacing w:before="120" w:after="120"/>
        <w:jc w:val="both"/>
        <w:rPr>
          <w:rFonts w:cs="Segoe UI"/>
        </w:rPr>
      </w:pPr>
      <w:r w:rsidRPr="0064679B">
        <w:rPr>
          <w:rFonts w:cs="Segoe UI"/>
        </w:rPr>
        <w:t>50</w:t>
      </w:r>
      <w:r w:rsidRPr="00C8011C">
        <w:rPr>
          <w:rFonts w:cs="Segoe UI"/>
        </w:rPr>
        <w:t>% of on-grid households who can afford solar home devices as backup options for power outages would purchase one</w:t>
      </w:r>
    </w:p>
    <w:p w14:paraId="0FC53194" w14:textId="367E1D2B" w:rsidR="00DB6F5D" w:rsidRPr="00C8011C" w:rsidRDefault="00DB6F5D" w:rsidP="007A76CB">
      <w:pPr>
        <w:numPr>
          <w:ilvl w:val="0"/>
          <w:numId w:val="6"/>
        </w:numPr>
        <w:spacing w:before="120" w:after="120"/>
        <w:jc w:val="both"/>
        <w:rPr>
          <w:rFonts w:cs="Segoe UI"/>
        </w:rPr>
      </w:pPr>
      <w:r w:rsidRPr="00C8011C">
        <w:rPr>
          <w:rFonts w:cs="Segoe UI"/>
        </w:rPr>
        <w:lastRenderedPageBreak/>
        <w:t>The interest rate for consumer finance is estimated to be 18% p.a. based on insights from consultations with ASUSU and commercial banks in Niger</w:t>
      </w:r>
    </w:p>
    <w:p w14:paraId="73BE90FB" w14:textId="4364962A" w:rsidR="003D316D" w:rsidRPr="00955049" w:rsidRDefault="00915507" w:rsidP="003D316D">
      <w:pPr>
        <w:pStyle w:val="H2NEWreportStyle"/>
        <w:numPr>
          <w:ilvl w:val="0"/>
          <w:numId w:val="0"/>
        </w:numPr>
        <w:ind w:left="936" w:hanging="792"/>
      </w:pPr>
      <w:bookmarkStart w:id="236" w:name="_Toc501097063"/>
      <w:r>
        <w:t>B.2</w:t>
      </w:r>
      <w:r w:rsidR="003D316D">
        <w:t xml:space="preserve"> Public institutions</w:t>
      </w:r>
      <w:bookmarkEnd w:id="236"/>
    </w:p>
    <w:p w14:paraId="72029CB2" w14:textId="77777777" w:rsidR="004E7F5F" w:rsidRPr="00627447" w:rsidRDefault="004E7F5F" w:rsidP="004E7F5F">
      <w:pPr>
        <w:jc w:val="both"/>
        <w:rPr>
          <w:rFonts w:cs="Segoe UI"/>
        </w:rPr>
      </w:pPr>
      <w:r>
        <w:rPr>
          <w:rFonts w:cs="Segoe UI"/>
        </w:rPr>
        <w:t xml:space="preserve">Our analysis for the different types of public institutions follows a similar methodology in all three cases. We model out typical appliance usage and subsequent energy demand for a range of different institutions, and for a number of different institution sub-types (e.g. primary schools, secondary schools, tertiary schools, and nurseries within educational institutions). For each institution sub-type, we then evaluate the business case for switching to solar, and finally derive the market size at the Commune, Region, and National level based on institutions with a positive solar business case. Specifically, the analysis involves the following steps:  </w:t>
      </w:r>
    </w:p>
    <w:p w14:paraId="69424ED3" w14:textId="77777777" w:rsidR="004E7F5F" w:rsidRPr="00AA70C5" w:rsidRDefault="004E7F5F" w:rsidP="004E7F5F">
      <w:pPr>
        <w:pStyle w:val="ListParagraph"/>
        <w:numPr>
          <w:ilvl w:val="0"/>
          <w:numId w:val="3"/>
        </w:numPr>
        <w:spacing w:before="120" w:after="120"/>
        <w:contextualSpacing w:val="0"/>
        <w:jc w:val="both"/>
        <w:rPr>
          <w:rFonts w:cs="Segoe UI"/>
        </w:rPr>
      </w:pPr>
      <w:r>
        <w:rPr>
          <w:rFonts w:cs="Segoe UI"/>
        </w:rPr>
        <w:t>We d</w:t>
      </w:r>
      <w:r w:rsidRPr="00AA70C5">
        <w:rPr>
          <w:rFonts w:cs="Segoe UI"/>
        </w:rPr>
        <w:t xml:space="preserve">evelop </w:t>
      </w:r>
      <w:r>
        <w:rPr>
          <w:rFonts w:cs="Segoe UI"/>
        </w:rPr>
        <w:t xml:space="preserve">typical use cases for different institutions and sub-types of each institution. For instance, we divide educational institutions into primary, secondary, etc., and model out different clinic “tiers” as defined by the Ministry of Health. Based on our consultations and market research we build a representative list of appliances used, and are therefore able to estimate typical energy demand. For instance, we assume that universities have air conditioning systems whereas primary and secondary schools predominantly only use ceiling fans or no system at all. </w:t>
      </w:r>
    </w:p>
    <w:p w14:paraId="2FD6DFBA" w14:textId="0E0F3A59" w:rsidR="004E7F5F" w:rsidRPr="0025258B" w:rsidRDefault="004E7F5F" w:rsidP="004E7F5F">
      <w:pPr>
        <w:pStyle w:val="ListParagraph"/>
        <w:numPr>
          <w:ilvl w:val="0"/>
          <w:numId w:val="3"/>
        </w:numPr>
        <w:spacing w:before="120" w:after="120"/>
        <w:contextualSpacing w:val="0"/>
        <w:jc w:val="both"/>
        <w:rPr>
          <w:rFonts w:cs="Segoe UI"/>
        </w:rPr>
      </w:pPr>
      <w:r>
        <w:rPr>
          <w:rFonts w:cs="Segoe UI"/>
        </w:rPr>
        <w:t>Based on estimated energy consumption,</w:t>
      </w:r>
      <w:r w:rsidRPr="00AA70C5">
        <w:rPr>
          <w:rFonts w:cs="Segoe UI"/>
        </w:rPr>
        <w:t xml:space="preserve"> </w:t>
      </w:r>
      <w:r>
        <w:rPr>
          <w:rFonts w:cs="Segoe UI"/>
        </w:rPr>
        <w:t>we calculate the business case for switching to solar technology. This business case is calculated by comparing the lifetime costs of the solar device</w:t>
      </w:r>
      <w:r>
        <w:rPr>
          <w:rStyle w:val="FootnoteReference"/>
          <w:rFonts w:cs="Segoe UI"/>
        </w:rPr>
        <w:footnoteReference w:id="105"/>
      </w:r>
      <w:r>
        <w:rPr>
          <w:rFonts w:cs="Segoe UI"/>
        </w:rPr>
        <w:t xml:space="preserve"> against the cost of each of i) consuming energy from the grid; ii) diesel generators;</w:t>
      </w:r>
      <w:r w:rsidRPr="00AA70C5">
        <w:rPr>
          <w:rFonts w:cs="Segoe UI"/>
        </w:rPr>
        <w:t xml:space="preserve"> and</w:t>
      </w:r>
      <w:r>
        <w:rPr>
          <w:rFonts w:cs="Segoe UI"/>
        </w:rPr>
        <w:t xml:space="preserve"> iii) traditional lighting solutions (kerosene, candles, etc.). In each case we assume that institutions would choose a solar device that allows them to maintain their current levels of energy consumption (for instance, a nursery currently using candles and kerosene would switch to a basic Lighting Africa solar home system). </w:t>
      </w:r>
      <w:r>
        <w:rPr>
          <w:rFonts w:cs="Segoe UI"/>
        </w:rPr>
        <w:fldChar w:fldCharType="begin"/>
      </w:r>
      <w:r>
        <w:rPr>
          <w:rFonts w:cs="Segoe UI"/>
        </w:rPr>
        <w:instrText xml:space="preserve"> REF _Ref469156107 </w:instrText>
      </w:r>
      <w:r>
        <w:rPr>
          <w:rFonts w:cs="Segoe UI"/>
        </w:rPr>
        <w:fldChar w:fldCharType="separate"/>
      </w:r>
      <w:r w:rsidR="000D1C35">
        <w:t xml:space="preserve">Table </w:t>
      </w:r>
      <w:r w:rsidR="000D1C35">
        <w:rPr>
          <w:noProof/>
        </w:rPr>
        <w:t>44</w:t>
      </w:r>
      <w:r>
        <w:rPr>
          <w:rFonts w:cs="Segoe UI"/>
        </w:rPr>
        <w:fldChar w:fldCharType="end"/>
      </w:r>
      <w:r>
        <w:rPr>
          <w:rFonts w:cs="Segoe UI"/>
        </w:rPr>
        <w:t xml:space="preserve"> below shows our assumptions for per kW CAPEX cost for various solar systems (including batteries and inverters), reflecting declining per kW costs as overall capacity increases. Importantly, we also assume that power needs below 200W are met by Lighting Africa-type solar home systems and solar lanterns, whereas power needs above 200W require larger PV installations. </w:t>
      </w:r>
    </w:p>
    <w:p w14:paraId="6151ABB3" w14:textId="49AB9230" w:rsidR="004E7F5F" w:rsidRDefault="004E7F5F" w:rsidP="004E7F5F">
      <w:pPr>
        <w:pStyle w:val="Caption"/>
        <w:ind w:left="720"/>
      </w:pPr>
      <w:bookmarkStart w:id="237" w:name="_Ref469156107"/>
      <w:bookmarkStart w:id="238" w:name="_Toc500969408"/>
      <w:r w:rsidRPr="00FE1069">
        <w:rPr>
          <w:noProof/>
        </w:rPr>
        <w:lastRenderedPageBreak/>
        <w:drawing>
          <wp:anchor distT="91440" distB="274320" distL="114300" distR="114300" simplePos="0" relativeHeight="251752448" behindDoc="0" locked="0" layoutInCell="1" allowOverlap="1" wp14:anchorId="6F09146E" wp14:editId="4A61C422">
            <wp:simplePos x="0" y="0"/>
            <wp:positionH relativeFrom="column">
              <wp:posOffset>428625</wp:posOffset>
            </wp:positionH>
            <wp:positionV relativeFrom="paragraph">
              <wp:posOffset>263525</wp:posOffset>
            </wp:positionV>
            <wp:extent cx="4744720" cy="31432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4472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Table </w:t>
      </w:r>
      <w:fldSimple w:instr=" SEQ Table \* ARABIC ">
        <w:r w:rsidR="000D1C35">
          <w:rPr>
            <w:noProof/>
          </w:rPr>
          <w:t>44</w:t>
        </w:r>
      </w:fldSimple>
      <w:bookmarkEnd w:id="237"/>
      <w:r>
        <w:t>: Range of solar systems included in analysis for public institutions</w:t>
      </w:r>
      <w:bookmarkEnd w:id="238"/>
    </w:p>
    <w:p w14:paraId="1534D6A9" w14:textId="77777777" w:rsidR="004E7F5F" w:rsidRPr="005945F8" w:rsidRDefault="004E7F5F" w:rsidP="004E7F5F">
      <w:pPr>
        <w:pStyle w:val="ListParagraph"/>
        <w:numPr>
          <w:ilvl w:val="0"/>
          <w:numId w:val="3"/>
        </w:numPr>
        <w:spacing w:before="120" w:after="120"/>
        <w:contextualSpacing w:val="0"/>
        <w:jc w:val="both"/>
        <w:rPr>
          <w:rFonts w:cs="Segoe UI"/>
        </w:rPr>
      </w:pPr>
      <w:r>
        <w:rPr>
          <w:rFonts w:cs="Segoe UI"/>
        </w:rPr>
        <w:t xml:space="preserve">We then estimate total market size at commune, regional and national level using data on the geographic distribution of the different types of institutions and the results of the business case analysis. The total market is the CAPEX per institution multiplied by the number of institutions for which there is a business case. We also assume that </w:t>
      </w:r>
      <w:r>
        <w:t>the on-grid/off-grid split for institutions is the same as for households (since grid connection data is available for households but not explicitly for institutions). Among off-grid institutions, we also assume that larger more formal institutions are more likely to have generators (so that an off-grid secondary school or Departement centre d’administration is more likely to have a generator than a primary school or Case de Sant</w:t>
      </w:r>
      <w:r>
        <w:rPr>
          <w:rFonts w:cs="Segoe UI"/>
        </w:rPr>
        <w:t>é</w:t>
      </w:r>
      <w:r>
        <w:t>, which may only have access to traditional lighting methods). Further, as confirmed by consultations, only the largest public buildings (universities and department administrative centers) and health centers that need ongoing refrigeration (CSI 1 and 2) require grid backup systems.</w:t>
      </w:r>
    </w:p>
    <w:p w14:paraId="37ECA7CD" w14:textId="650F8590" w:rsidR="005B5063" w:rsidRDefault="004E7F5F" w:rsidP="004E7F5F">
      <w:pPr>
        <w:jc w:val="both"/>
        <w:rPr>
          <w:rFonts w:cs="Segoe UI"/>
          <w:lang w:val="en-GB"/>
        </w:rPr>
      </w:pPr>
      <w:r w:rsidRPr="004E7F5F">
        <w:rPr>
          <w:rFonts w:cs="Segoe UI"/>
          <w:lang w:val="en-GB"/>
        </w:rPr>
        <w:t xml:space="preserve">Finally, we map demand based on institution longitude and latitude data. Where this data does not exist, we assume that geographic distribution of institutions correlates with geographic distribution of population. </w:t>
      </w:r>
    </w:p>
    <w:p w14:paraId="17729E64" w14:textId="670D5C9E" w:rsidR="00492F09" w:rsidRDefault="00915507" w:rsidP="00492F09">
      <w:pPr>
        <w:pStyle w:val="H3NEWreportStyle"/>
        <w:numPr>
          <w:ilvl w:val="0"/>
          <w:numId w:val="0"/>
        </w:numPr>
        <w:spacing w:before="360"/>
        <w:ind w:left="1152" w:hanging="864"/>
      </w:pPr>
      <w:bookmarkStart w:id="239" w:name="_Toc501097064"/>
      <w:r>
        <w:t>B.2</w:t>
      </w:r>
      <w:r w:rsidR="00492F09">
        <w:t>.1 Educational institutions</w:t>
      </w:r>
      <w:bookmarkEnd w:id="239"/>
    </w:p>
    <w:p w14:paraId="15802CAE" w14:textId="28464FF1" w:rsidR="00993D59" w:rsidRPr="00E91176" w:rsidRDefault="00993D59" w:rsidP="00993D59">
      <w:pPr>
        <w:jc w:val="both"/>
      </w:pPr>
      <w:r>
        <w:t xml:space="preserve">For each type of educational institution, we assume a number of appliances in the common areas, and in each class room. </w:t>
      </w:r>
      <w:fldSimple w:instr=" REF _Ref469157163 ">
        <w:r w:rsidR="000D1C35">
          <w:t xml:space="preserve">Table </w:t>
        </w:r>
        <w:r w:rsidR="000D1C35">
          <w:rPr>
            <w:noProof/>
          </w:rPr>
          <w:t>45</w:t>
        </w:r>
      </w:fldSimple>
      <w:r>
        <w:t xml:space="preserve"> summarizes these assumptions. </w:t>
      </w:r>
    </w:p>
    <w:p w14:paraId="713EBD5D" w14:textId="28E7C341" w:rsidR="00993D59" w:rsidRDefault="00993D59" w:rsidP="00993D59">
      <w:pPr>
        <w:pStyle w:val="Caption"/>
      </w:pPr>
      <w:bookmarkStart w:id="240" w:name="_Ref469157163"/>
      <w:bookmarkStart w:id="241" w:name="_Toc500969409"/>
      <w:r>
        <w:lastRenderedPageBreak/>
        <w:t xml:space="preserve">Table </w:t>
      </w:r>
      <w:fldSimple w:instr=" SEQ Table \* ARABIC ">
        <w:r w:rsidR="000D1C35">
          <w:rPr>
            <w:noProof/>
          </w:rPr>
          <w:t>45</w:t>
        </w:r>
      </w:fldSimple>
      <w:bookmarkEnd w:id="240"/>
      <w:r>
        <w:t xml:space="preserve">: </w:t>
      </w:r>
      <w:r w:rsidRPr="006122FC">
        <w:t>Electronic appliances by school type</w:t>
      </w:r>
      <w:bookmarkEnd w:id="241"/>
    </w:p>
    <w:p w14:paraId="0EF394CB" w14:textId="77777777" w:rsidR="00993D59" w:rsidRDefault="00993D59" w:rsidP="00993D59">
      <w:r w:rsidRPr="00C16223">
        <w:rPr>
          <w:noProof/>
        </w:rPr>
        <w:drawing>
          <wp:inline distT="0" distB="0" distL="0" distR="0" wp14:anchorId="319FFAE6" wp14:editId="61692A83">
            <wp:extent cx="5705856" cy="273405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5856" cy="2734056"/>
                    </a:xfrm>
                    <a:prstGeom prst="rect">
                      <a:avLst/>
                    </a:prstGeom>
                    <a:noFill/>
                    <a:ln>
                      <a:noFill/>
                    </a:ln>
                  </pic:spPr>
                </pic:pic>
              </a:graphicData>
            </a:graphic>
          </wp:inline>
        </w:drawing>
      </w:r>
    </w:p>
    <w:p w14:paraId="61AACED0" w14:textId="11115954" w:rsidR="00993D59" w:rsidRDefault="00E76E36" w:rsidP="00993D59">
      <w:pPr>
        <w:jc w:val="both"/>
      </w:pPr>
      <w:r>
        <w:t>To size the market, we</w:t>
      </w:r>
      <w:r w:rsidR="00081494">
        <w:t xml:space="preserve"> assume that </w:t>
      </w:r>
      <w:r>
        <w:t xml:space="preserve">(i) </w:t>
      </w:r>
      <w:r w:rsidR="00081494">
        <w:t>every institution for which there is a positive business case would opt to switch to solar if they had the necessary funding or financing,</w:t>
      </w:r>
      <w:r>
        <w:t xml:space="preserve"> (ii) t</w:t>
      </w:r>
      <w:r w:rsidR="00081494">
        <w:t>he on-grid/off-grid split for institutions is the same as for households</w:t>
      </w:r>
      <w:r>
        <w:t>, with exception of</w:t>
      </w:r>
      <w:r w:rsidR="00081494">
        <w:t xml:space="preserve"> tertiary universities which are all on-grid</w:t>
      </w:r>
      <w:r>
        <w:t>, and (iii) o</w:t>
      </w:r>
      <w:r w:rsidR="00081494">
        <w:t>ff-grid institutions currently use either diesel generators or traditional sources of lighting (candles, kerosene, etc.)</w:t>
      </w:r>
      <w:r>
        <w:t xml:space="preserve">. </w:t>
      </w:r>
      <w:fldSimple w:instr=" REF _Ref469234636 ">
        <w:r w:rsidR="000D1C35">
          <w:t xml:space="preserve">Table </w:t>
        </w:r>
        <w:r w:rsidR="000D1C35">
          <w:rPr>
            <w:noProof/>
          </w:rPr>
          <w:t>46</w:t>
        </w:r>
      </w:fldSimple>
      <w:r w:rsidR="00993D59">
        <w:t xml:space="preserve"> shows these assumptions in detail. </w:t>
      </w:r>
    </w:p>
    <w:p w14:paraId="70CCF3FA" w14:textId="73076359" w:rsidR="00993D59" w:rsidRDefault="00993D59" w:rsidP="00993D59">
      <w:pPr>
        <w:pStyle w:val="Caption"/>
      </w:pPr>
      <w:bookmarkStart w:id="242" w:name="_Ref469234636"/>
      <w:bookmarkStart w:id="243" w:name="_Toc500969410"/>
      <w:r>
        <w:t xml:space="preserve">Table </w:t>
      </w:r>
      <w:fldSimple w:instr=" SEQ Table \* ARABIC ">
        <w:r w:rsidR="000D1C35">
          <w:rPr>
            <w:noProof/>
          </w:rPr>
          <w:t>46</w:t>
        </w:r>
      </w:fldSimple>
      <w:bookmarkEnd w:id="242"/>
      <w:r>
        <w:t>: Assumptions on current electricity sources for schools</w:t>
      </w:r>
      <w:bookmarkEnd w:id="243"/>
    </w:p>
    <w:tbl>
      <w:tblPr>
        <w:tblStyle w:val="GridTable6Colorful"/>
        <w:tblW w:w="0" w:type="auto"/>
        <w:tblLook w:val="0680" w:firstRow="0" w:lastRow="0" w:firstColumn="1" w:lastColumn="0" w:noHBand="1" w:noVBand="1"/>
      </w:tblPr>
      <w:tblGrid>
        <w:gridCol w:w="1255"/>
        <w:gridCol w:w="2070"/>
        <w:gridCol w:w="2157"/>
        <w:gridCol w:w="1934"/>
        <w:gridCol w:w="1934"/>
      </w:tblGrid>
      <w:tr w:rsidR="00993D59" w:rsidRPr="00523A68" w14:paraId="30E40324"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val="restart"/>
            <w:shd w:val="clear" w:color="auto" w:fill="BFD4EF" w:themeFill="text1" w:themeFillTint="33"/>
            <w:vAlign w:val="center"/>
          </w:tcPr>
          <w:p w14:paraId="01B8A5AD" w14:textId="77777777" w:rsidR="00993D59" w:rsidRPr="00AB3525" w:rsidRDefault="00993D59" w:rsidP="00E16443">
            <w:pPr>
              <w:jc w:val="right"/>
              <w:rPr>
                <w:rFonts w:cs="Segoe UI"/>
                <w:sz w:val="18"/>
                <w:szCs w:val="18"/>
              </w:rPr>
            </w:pPr>
          </w:p>
        </w:tc>
        <w:tc>
          <w:tcPr>
            <w:tcW w:w="2070" w:type="dxa"/>
            <w:vMerge w:val="restart"/>
            <w:shd w:val="clear" w:color="auto" w:fill="BFD4EF" w:themeFill="text1" w:themeFillTint="33"/>
            <w:vAlign w:val="center"/>
          </w:tcPr>
          <w:p w14:paraId="23B88809"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Institution</w:t>
            </w:r>
          </w:p>
          <w:p w14:paraId="79477EDC"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sub-type</w:t>
            </w:r>
          </w:p>
        </w:tc>
        <w:tc>
          <w:tcPr>
            <w:tcW w:w="2157" w:type="dxa"/>
            <w:vMerge w:val="restart"/>
            <w:shd w:val="clear" w:color="auto" w:fill="BFD4EF" w:themeFill="text1" w:themeFillTint="33"/>
            <w:vAlign w:val="center"/>
          </w:tcPr>
          <w:p w14:paraId="46DABA9A"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on grid</w:t>
            </w:r>
          </w:p>
        </w:tc>
        <w:tc>
          <w:tcPr>
            <w:tcW w:w="3868" w:type="dxa"/>
            <w:gridSpan w:val="2"/>
            <w:shd w:val="clear" w:color="auto" w:fill="BFD4EF" w:themeFill="text1" w:themeFillTint="33"/>
            <w:vAlign w:val="center"/>
          </w:tcPr>
          <w:p w14:paraId="50358960" w14:textId="77777777" w:rsidR="00993D59" w:rsidRPr="00AB3525" w:rsidRDefault="00993D59" w:rsidP="00E16443">
            <w:pPr>
              <w:jc w:val="center"/>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Off-grid</w:t>
            </w:r>
          </w:p>
        </w:tc>
      </w:tr>
      <w:tr w:rsidR="00993D59" w:rsidRPr="00523A68" w14:paraId="0E192621"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shd w:val="clear" w:color="auto" w:fill="BFD4EF" w:themeFill="text1" w:themeFillTint="33"/>
          </w:tcPr>
          <w:p w14:paraId="365938B2" w14:textId="77777777" w:rsidR="00993D59" w:rsidRPr="00AB3525" w:rsidRDefault="00993D59" w:rsidP="00E16443">
            <w:pPr>
              <w:jc w:val="both"/>
              <w:rPr>
                <w:rFonts w:cs="Segoe UI"/>
                <w:sz w:val="18"/>
                <w:szCs w:val="18"/>
              </w:rPr>
            </w:pPr>
          </w:p>
        </w:tc>
        <w:tc>
          <w:tcPr>
            <w:tcW w:w="2070" w:type="dxa"/>
            <w:vMerge/>
            <w:shd w:val="clear" w:color="auto" w:fill="BFD4EF" w:themeFill="text1" w:themeFillTint="33"/>
          </w:tcPr>
          <w:p w14:paraId="17E0DC7C"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2157" w:type="dxa"/>
            <w:vMerge/>
            <w:shd w:val="clear" w:color="auto" w:fill="BFD4EF" w:themeFill="text1" w:themeFillTint="33"/>
          </w:tcPr>
          <w:p w14:paraId="28773007"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1934" w:type="dxa"/>
            <w:shd w:val="clear" w:color="auto" w:fill="BFD4EF" w:themeFill="text1" w:themeFillTint="33"/>
          </w:tcPr>
          <w:p w14:paraId="7F7A521C"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 xml:space="preserve">with diesel </w:t>
            </w:r>
            <w:r w:rsidRPr="00AB3525">
              <w:rPr>
                <w:rFonts w:cs="Segoe UI"/>
                <w:b/>
                <w:sz w:val="18"/>
                <w:szCs w:val="18"/>
              </w:rPr>
              <w:t>gen</w:t>
            </w:r>
            <w:r>
              <w:rPr>
                <w:rFonts w:cs="Segoe UI"/>
                <w:b/>
                <w:sz w:val="18"/>
                <w:szCs w:val="18"/>
              </w:rPr>
              <w:t>erator</w:t>
            </w:r>
          </w:p>
        </w:tc>
        <w:tc>
          <w:tcPr>
            <w:tcW w:w="1934" w:type="dxa"/>
            <w:shd w:val="clear" w:color="auto" w:fill="BFD4EF" w:themeFill="text1" w:themeFillTint="33"/>
          </w:tcPr>
          <w:p w14:paraId="12ACE6A6" w14:textId="77777777" w:rsidR="00993D59" w:rsidRPr="00AB3525"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with traditional sources of lighting</w:t>
            </w:r>
          </w:p>
        </w:tc>
      </w:tr>
      <w:tr w:rsidR="00993D59" w:rsidRPr="00523A68" w14:paraId="4AA1ADF0" w14:textId="77777777" w:rsidTr="00E16443">
        <w:trPr>
          <w:trHeight w:val="251"/>
        </w:trPr>
        <w:tc>
          <w:tcPr>
            <w:cnfStyle w:val="001000000000" w:firstRow="0" w:lastRow="0" w:firstColumn="1" w:lastColumn="0" w:oddVBand="0" w:evenVBand="0" w:oddHBand="0" w:evenHBand="0" w:firstRowFirstColumn="0" w:firstRowLastColumn="0" w:lastRowFirstColumn="0" w:lastRowLastColumn="0"/>
            <w:tcW w:w="1255" w:type="dxa"/>
            <w:vMerge w:val="restart"/>
          </w:tcPr>
          <w:p w14:paraId="75D87FD3" w14:textId="77777777" w:rsidR="00993D59" w:rsidRPr="00523A68" w:rsidRDefault="00993D59" w:rsidP="00E16443">
            <w:pPr>
              <w:rPr>
                <w:rFonts w:cs="Segoe UI"/>
                <w:sz w:val="18"/>
                <w:szCs w:val="18"/>
              </w:rPr>
            </w:pPr>
            <w:r w:rsidRPr="00523A68">
              <w:rPr>
                <w:rFonts w:cs="Segoe UI"/>
                <w:sz w:val="18"/>
                <w:szCs w:val="18"/>
              </w:rPr>
              <w:t>Schools</w:t>
            </w:r>
          </w:p>
        </w:tc>
        <w:tc>
          <w:tcPr>
            <w:tcW w:w="2070" w:type="dxa"/>
          </w:tcPr>
          <w:p w14:paraId="0DACB891"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Nursery</w:t>
            </w:r>
          </w:p>
        </w:tc>
        <w:tc>
          <w:tcPr>
            <w:tcW w:w="2157" w:type="dxa"/>
          </w:tcPr>
          <w:p w14:paraId="36315058"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19%</w:t>
            </w:r>
          </w:p>
        </w:tc>
        <w:tc>
          <w:tcPr>
            <w:tcW w:w="1934" w:type="dxa"/>
          </w:tcPr>
          <w:p w14:paraId="1CE40641"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0%</w:t>
            </w:r>
          </w:p>
        </w:tc>
        <w:tc>
          <w:tcPr>
            <w:tcW w:w="1934" w:type="dxa"/>
          </w:tcPr>
          <w:p w14:paraId="72D0AD9F"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81</w:t>
            </w:r>
            <w:r w:rsidRPr="00523A68">
              <w:rPr>
                <w:rFonts w:cs="Segoe UI"/>
                <w:sz w:val="18"/>
                <w:szCs w:val="18"/>
              </w:rPr>
              <w:t>%</w:t>
            </w:r>
          </w:p>
        </w:tc>
      </w:tr>
      <w:tr w:rsidR="00993D59" w:rsidRPr="00523A68" w14:paraId="42865E60"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tcPr>
          <w:p w14:paraId="379AAFB9" w14:textId="77777777" w:rsidR="00993D59" w:rsidRPr="00523A68" w:rsidRDefault="00993D59" w:rsidP="00E16443">
            <w:pPr>
              <w:jc w:val="both"/>
              <w:rPr>
                <w:rFonts w:cs="Segoe UI"/>
                <w:sz w:val="18"/>
                <w:szCs w:val="18"/>
              </w:rPr>
            </w:pPr>
          </w:p>
        </w:tc>
        <w:tc>
          <w:tcPr>
            <w:tcW w:w="2070" w:type="dxa"/>
          </w:tcPr>
          <w:p w14:paraId="44541663"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Primary</w:t>
            </w:r>
          </w:p>
        </w:tc>
        <w:tc>
          <w:tcPr>
            <w:tcW w:w="2157" w:type="dxa"/>
          </w:tcPr>
          <w:p w14:paraId="68EBA70F"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12%</w:t>
            </w:r>
          </w:p>
        </w:tc>
        <w:tc>
          <w:tcPr>
            <w:tcW w:w="1934" w:type="dxa"/>
          </w:tcPr>
          <w:p w14:paraId="3374D526"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0%</w:t>
            </w:r>
          </w:p>
        </w:tc>
        <w:tc>
          <w:tcPr>
            <w:tcW w:w="1934" w:type="dxa"/>
          </w:tcPr>
          <w:p w14:paraId="2421DF75"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88</w:t>
            </w:r>
            <w:r w:rsidRPr="00523A68">
              <w:rPr>
                <w:rFonts w:cs="Segoe UI"/>
                <w:sz w:val="18"/>
                <w:szCs w:val="18"/>
              </w:rPr>
              <w:t>%</w:t>
            </w:r>
          </w:p>
        </w:tc>
      </w:tr>
      <w:tr w:rsidR="00993D59" w:rsidRPr="00523A68" w14:paraId="6D789F79"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tcPr>
          <w:p w14:paraId="37DF5EAB" w14:textId="77777777" w:rsidR="00993D59" w:rsidRPr="00523A68" w:rsidRDefault="00993D59" w:rsidP="00E16443">
            <w:pPr>
              <w:jc w:val="both"/>
              <w:rPr>
                <w:rFonts w:cs="Segoe UI"/>
                <w:sz w:val="18"/>
                <w:szCs w:val="18"/>
              </w:rPr>
            </w:pPr>
          </w:p>
        </w:tc>
        <w:tc>
          <w:tcPr>
            <w:tcW w:w="2070" w:type="dxa"/>
          </w:tcPr>
          <w:p w14:paraId="0F3F9F24"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Secondary</w:t>
            </w:r>
          </w:p>
        </w:tc>
        <w:tc>
          <w:tcPr>
            <w:tcW w:w="2157" w:type="dxa"/>
          </w:tcPr>
          <w:p w14:paraId="16C8D377"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10%</w:t>
            </w:r>
          </w:p>
        </w:tc>
        <w:tc>
          <w:tcPr>
            <w:tcW w:w="1934" w:type="dxa"/>
          </w:tcPr>
          <w:p w14:paraId="3165363A"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17</w:t>
            </w:r>
            <w:r w:rsidRPr="00523A68">
              <w:rPr>
                <w:rFonts w:cs="Segoe UI"/>
                <w:sz w:val="18"/>
                <w:szCs w:val="18"/>
              </w:rPr>
              <w:t>%</w:t>
            </w:r>
          </w:p>
        </w:tc>
        <w:tc>
          <w:tcPr>
            <w:tcW w:w="1934" w:type="dxa"/>
          </w:tcPr>
          <w:p w14:paraId="12DE192D"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73</w:t>
            </w:r>
            <w:r w:rsidRPr="00523A68">
              <w:rPr>
                <w:rFonts w:cs="Segoe UI"/>
                <w:sz w:val="18"/>
                <w:szCs w:val="18"/>
              </w:rPr>
              <w:t>%</w:t>
            </w:r>
          </w:p>
        </w:tc>
      </w:tr>
      <w:tr w:rsidR="00993D59" w:rsidRPr="00523A68" w14:paraId="2E0E6D0A"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tcPr>
          <w:p w14:paraId="478AD3C7" w14:textId="77777777" w:rsidR="00993D59" w:rsidRPr="00523A68" w:rsidRDefault="00993D59" w:rsidP="00E16443">
            <w:pPr>
              <w:jc w:val="both"/>
              <w:rPr>
                <w:rFonts w:cs="Segoe UI"/>
                <w:sz w:val="18"/>
                <w:szCs w:val="18"/>
              </w:rPr>
            </w:pPr>
          </w:p>
        </w:tc>
        <w:tc>
          <w:tcPr>
            <w:tcW w:w="2070" w:type="dxa"/>
          </w:tcPr>
          <w:p w14:paraId="33EB45A5"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Tertiary</w:t>
            </w:r>
          </w:p>
        </w:tc>
        <w:tc>
          <w:tcPr>
            <w:tcW w:w="2157" w:type="dxa"/>
          </w:tcPr>
          <w:p w14:paraId="63DBA84D"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100%</w:t>
            </w:r>
          </w:p>
        </w:tc>
        <w:tc>
          <w:tcPr>
            <w:tcW w:w="1934" w:type="dxa"/>
          </w:tcPr>
          <w:p w14:paraId="7CD4783F"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0</w:t>
            </w:r>
            <w:r w:rsidRPr="00523A68">
              <w:rPr>
                <w:rFonts w:cs="Segoe UI"/>
                <w:sz w:val="18"/>
                <w:szCs w:val="18"/>
              </w:rPr>
              <w:t>%</w:t>
            </w:r>
          </w:p>
        </w:tc>
        <w:tc>
          <w:tcPr>
            <w:tcW w:w="1934" w:type="dxa"/>
          </w:tcPr>
          <w:p w14:paraId="7E1606C3" w14:textId="77777777" w:rsidR="00993D59" w:rsidRPr="00523A68" w:rsidRDefault="00993D59"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0</w:t>
            </w:r>
            <w:r w:rsidRPr="00523A68">
              <w:rPr>
                <w:rFonts w:cs="Segoe UI"/>
                <w:sz w:val="18"/>
                <w:szCs w:val="18"/>
              </w:rPr>
              <w:t>%</w:t>
            </w:r>
          </w:p>
        </w:tc>
      </w:tr>
    </w:tbl>
    <w:p w14:paraId="7A79D865" w14:textId="59FA042A" w:rsidR="00993D59" w:rsidRDefault="00993D59" w:rsidP="00993D59"/>
    <w:p w14:paraId="57876A3F" w14:textId="10FA4EF9" w:rsidR="00CB7ACA" w:rsidRDefault="00915507" w:rsidP="00CB7ACA">
      <w:pPr>
        <w:pStyle w:val="H3NEWreportStyle"/>
        <w:numPr>
          <w:ilvl w:val="0"/>
          <w:numId w:val="0"/>
        </w:numPr>
        <w:spacing w:before="360"/>
        <w:ind w:left="1152" w:hanging="864"/>
      </w:pPr>
      <w:bookmarkStart w:id="244" w:name="_Toc501097065"/>
      <w:r>
        <w:t>B.2</w:t>
      </w:r>
      <w:r w:rsidR="00CB7ACA">
        <w:t>.2 Health facilities</w:t>
      </w:r>
      <w:bookmarkEnd w:id="244"/>
    </w:p>
    <w:p w14:paraId="3A42E1C1" w14:textId="03E9A9C4" w:rsidR="00CB7ACA" w:rsidRPr="00E91176" w:rsidRDefault="00CB7ACA" w:rsidP="00CB7ACA">
      <w:pPr>
        <w:jc w:val="both"/>
      </w:pPr>
      <w:r>
        <w:t xml:space="preserve">For each type of health facility, we assume different quantities of basic electric appliances as well as more sophisticated medical devices, based on consultations with the Ministry of Health. These are summarized in </w:t>
      </w:r>
      <w:fldSimple w:instr=" REF _Ref469182554 ">
        <w:r w:rsidR="000D1C35">
          <w:t xml:space="preserve">Table </w:t>
        </w:r>
        <w:r w:rsidR="000D1C35">
          <w:rPr>
            <w:noProof/>
          </w:rPr>
          <w:t>47</w:t>
        </w:r>
      </w:fldSimple>
      <w:r>
        <w:t xml:space="preserve"> below. </w:t>
      </w:r>
    </w:p>
    <w:p w14:paraId="32DB77DD" w14:textId="063D7CED" w:rsidR="00CB7ACA" w:rsidRDefault="00CB7ACA" w:rsidP="00CB7ACA">
      <w:pPr>
        <w:pStyle w:val="Caption"/>
      </w:pPr>
      <w:bookmarkStart w:id="245" w:name="_Ref469182554"/>
      <w:bookmarkStart w:id="246" w:name="_Toc500969411"/>
      <w:r>
        <w:lastRenderedPageBreak/>
        <w:t xml:space="preserve">Table </w:t>
      </w:r>
      <w:fldSimple w:instr=" SEQ Table \* ARABIC ">
        <w:r w:rsidR="000D1C35">
          <w:rPr>
            <w:noProof/>
          </w:rPr>
          <w:t>47</w:t>
        </w:r>
      </w:fldSimple>
      <w:bookmarkEnd w:id="245"/>
      <w:r>
        <w:t>: Electronic appliances by type of health facility</w:t>
      </w:r>
      <w:bookmarkEnd w:id="246"/>
    </w:p>
    <w:p w14:paraId="28922F74" w14:textId="77777777" w:rsidR="00CB7ACA" w:rsidRDefault="00CB7ACA" w:rsidP="00CB7ACA">
      <w:r w:rsidRPr="00094D38">
        <w:rPr>
          <w:noProof/>
        </w:rPr>
        <w:drawing>
          <wp:inline distT="0" distB="0" distL="0" distR="0" wp14:anchorId="0B334AA3" wp14:editId="49C30C5B">
            <wp:extent cx="3858768" cy="238658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8768" cy="2386584"/>
                    </a:xfrm>
                    <a:prstGeom prst="rect">
                      <a:avLst/>
                    </a:prstGeom>
                    <a:noFill/>
                    <a:ln>
                      <a:noFill/>
                    </a:ln>
                  </pic:spPr>
                </pic:pic>
              </a:graphicData>
            </a:graphic>
          </wp:inline>
        </w:drawing>
      </w:r>
    </w:p>
    <w:p w14:paraId="5E543EC2" w14:textId="4EA6654E" w:rsidR="00C011B5" w:rsidRDefault="00C011B5" w:rsidP="00C011B5">
      <w:pPr>
        <w:jc w:val="both"/>
      </w:pPr>
      <w:r>
        <w:t>We estimate the total market size based on the assumptions that the on-grid/off-grid split for health institutions is the same as for households, and that larger institutions are less likely to depend on traditional lighting technologies (summarized in the table below).</w:t>
      </w:r>
    </w:p>
    <w:p w14:paraId="60F886D8" w14:textId="63911703" w:rsidR="00C011B5" w:rsidRDefault="00C011B5" w:rsidP="00C011B5">
      <w:pPr>
        <w:pStyle w:val="Caption"/>
      </w:pPr>
      <w:bookmarkStart w:id="247" w:name="_Toc500969412"/>
      <w:r>
        <w:t xml:space="preserve">Table </w:t>
      </w:r>
      <w:fldSimple w:instr=" SEQ Table \* ARABIC ">
        <w:r w:rsidR="000D1C35">
          <w:rPr>
            <w:noProof/>
          </w:rPr>
          <w:t>48</w:t>
        </w:r>
      </w:fldSimple>
      <w:r>
        <w:t>: Assumptions on current electricity sources for health facilities</w:t>
      </w:r>
      <w:bookmarkEnd w:id="247"/>
    </w:p>
    <w:tbl>
      <w:tblPr>
        <w:tblStyle w:val="GridTable6Colorful"/>
        <w:tblW w:w="0" w:type="auto"/>
        <w:tblLook w:val="0680" w:firstRow="0" w:lastRow="0" w:firstColumn="1" w:lastColumn="0" w:noHBand="1" w:noVBand="1"/>
      </w:tblPr>
      <w:tblGrid>
        <w:gridCol w:w="1255"/>
        <w:gridCol w:w="2070"/>
        <w:gridCol w:w="2157"/>
        <w:gridCol w:w="1934"/>
        <w:gridCol w:w="1934"/>
      </w:tblGrid>
      <w:tr w:rsidR="00C011B5" w:rsidRPr="00523A68" w14:paraId="2D42AC7A"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val="restart"/>
            <w:shd w:val="clear" w:color="auto" w:fill="BFD4EF" w:themeFill="text1" w:themeFillTint="33"/>
            <w:vAlign w:val="center"/>
          </w:tcPr>
          <w:p w14:paraId="3959FBAA" w14:textId="77777777" w:rsidR="00C011B5" w:rsidRPr="00AB3525" w:rsidRDefault="00C011B5" w:rsidP="00E16443">
            <w:pPr>
              <w:jc w:val="right"/>
              <w:rPr>
                <w:rFonts w:cs="Segoe UI"/>
                <w:sz w:val="18"/>
                <w:szCs w:val="18"/>
              </w:rPr>
            </w:pPr>
          </w:p>
        </w:tc>
        <w:tc>
          <w:tcPr>
            <w:tcW w:w="2070" w:type="dxa"/>
            <w:vMerge w:val="restart"/>
            <w:shd w:val="clear" w:color="auto" w:fill="BFD4EF" w:themeFill="text1" w:themeFillTint="33"/>
            <w:vAlign w:val="center"/>
          </w:tcPr>
          <w:p w14:paraId="4C187183"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Institution</w:t>
            </w:r>
          </w:p>
          <w:p w14:paraId="60C796BD"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sub-type</w:t>
            </w:r>
          </w:p>
        </w:tc>
        <w:tc>
          <w:tcPr>
            <w:tcW w:w="2157" w:type="dxa"/>
            <w:vMerge w:val="restart"/>
            <w:shd w:val="clear" w:color="auto" w:fill="BFD4EF" w:themeFill="text1" w:themeFillTint="33"/>
            <w:vAlign w:val="center"/>
          </w:tcPr>
          <w:p w14:paraId="63EEBCEE"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on grid</w:t>
            </w:r>
          </w:p>
        </w:tc>
        <w:tc>
          <w:tcPr>
            <w:tcW w:w="3868" w:type="dxa"/>
            <w:gridSpan w:val="2"/>
            <w:shd w:val="clear" w:color="auto" w:fill="BFD4EF" w:themeFill="text1" w:themeFillTint="33"/>
            <w:vAlign w:val="center"/>
          </w:tcPr>
          <w:p w14:paraId="58D2E25B" w14:textId="77777777" w:rsidR="00C011B5" w:rsidRPr="00AB3525" w:rsidRDefault="00C011B5" w:rsidP="00E16443">
            <w:pPr>
              <w:jc w:val="center"/>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Off-grid</w:t>
            </w:r>
          </w:p>
        </w:tc>
      </w:tr>
      <w:tr w:rsidR="00C011B5" w:rsidRPr="00523A68" w14:paraId="5A112164"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shd w:val="clear" w:color="auto" w:fill="BFD4EF" w:themeFill="text1" w:themeFillTint="33"/>
          </w:tcPr>
          <w:p w14:paraId="71DFA1FA" w14:textId="77777777" w:rsidR="00C011B5" w:rsidRPr="00AB3525" w:rsidRDefault="00C011B5" w:rsidP="00E16443">
            <w:pPr>
              <w:jc w:val="both"/>
              <w:rPr>
                <w:rFonts w:cs="Segoe UI"/>
                <w:sz w:val="18"/>
                <w:szCs w:val="18"/>
              </w:rPr>
            </w:pPr>
          </w:p>
        </w:tc>
        <w:tc>
          <w:tcPr>
            <w:tcW w:w="2070" w:type="dxa"/>
            <w:vMerge/>
            <w:shd w:val="clear" w:color="auto" w:fill="BFD4EF" w:themeFill="text1" w:themeFillTint="33"/>
          </w:tcPr>
          <w:p w14:paraId="2B55F5F9"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2157" w:type="dxa"/>
            <w:vMerge/>
            <w:shd w:val="clear" w:color="auto" w:fill="BFD4EF" w:themeFill="text1" w:themeFillTint="33"/>
          </w:tcPr>
          <w:p w14:paraId="1BCA1891"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1934" w:type="dxa"/>
            <w:shd w:val="clear" w:color="auto" w:fill="BFD4EF" w:themeFill="text1" w:themeFillTint="33"/>
          </w:tcPr>
          <w:p w14:paraId="331D349D"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 xml:space="preserve">with diesel </w:t>
            </w:r>
            <w:r w:rsidRPr="00AB3525">
              <w:rPr>
                <w:rFonts w:cs="Segoe UI"/>
                <w:b/>
                <w:sz w:val="18"/>
                <w:szCs w:val="18"/>
              </w:rPr>
              <w:t>gen</w:t>
            </w:r>
            <w:r>
              <w:rPr>
                <w:rFonts w:cs="Segoe UI"/>
                <w:b/>
                <w:sz w:val="18"/>
                <w:szCs w:val="18"/>
              </w:rPr>
              <w:t>erator</w:t>
            </w:r>
          </w:p>
        </w:tc>
        <w:tc>
          <w:tcPr>
            <w:tcW w:w="1934" w:type="dxa"/>
            <w:shd w:val="clear" w:color="auto" w:fill="BFD4EF" w:themeFill="text1" w:themeFillTint="33"/>
          </w:tcPr>
          <w:p w14:paraId="02783EE2" w14:textId="77777777" w:rsidR="00C011B5" w:rsidRPr="00AB3525"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with traditional sources of lighting</w:t>
            </w:r>
          </w:p>
        </w:tc>
      </w:tr>
      <w:tr w:rsidR="00C011B5" w:rsidRPr="00523A68" w14:paraId="790B3036" w14:textId="77777777" w:rsidTr="00E16443">
        <w:trPr>
          <w:trHeight w:val="251"/>
        </w:trPr>
        <w:tc>
          <w:tcPr>
            <w:cnfStyle w:val="001000000000" w:firstRow="0" w:lastRow="0" w:firstColumn="1" w:lastColumn="0" w:oddVBand="0" w:evenVBand="0" w:oddHBand="0" w:evenHBand="0" w:firstRowFirstColumn="0" w:firstRowLastColumn="0" w:lastRowFirstColumn="0" w:lastRowLastColumn="0"/>
            <w:tcW w:w="1255" w:type="dxa"/>
            <w:vMerge w:val="restart"/>
          </w:tcPr>
          <w:p w14:paraId="5E3AE97F" w14:textId="77777777" w:rsidR="00C011B5" w:rsidRPr="00523A68" w:rsidRDefault="00C011B5" w:rsidP="00E16443">
            <w:pPr>
              <w:rPr>
                <w:rFonts w:cs="Segoe UI"/>
                <w:sz w:val="18"/>
                <w:szCs w:val="18"/>
              </w:rPr>
            </w:pPr>
            <w:r w:rsidRPr="00523A68">
              <w:rPr>
                <w:rFonts w:cs="Segoe UI"/>
                <w:sz w:val="18"/>
                <w:szCs w:val="18"/>
              </w:rPr>
              <w:t>Hospitals &amp; clinics</w:t>
            </w:r>
          </w:p>
        </w:tc>
        <w:tc>
          <w:tcPr>
            <w:tcW w:w="2070" w:type="dxa"/>
          </w:tcPr>
          <w:p w14:paraId="151C9AC2"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Case de santé</w:t>
            </w:r>
          </w:p>
        </w:tc>
        <w:tc>
          <w:tcPr>
            <w:tcW w:w="2157" w:type="dxa"/>
          </w:tcPr>
          <w:p w14:paraId="0569D45B"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12%</w:t>
            </w:r>
          </w:p>
        </w:tc>
        <w:tc>
          <w:tcPr>
            <w:tcW w:w="1934" w:type="dxa"/>
          </w:tcPr>
          <w:p w14:paraId="48044C4C"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23A68">
              <w:rPr>
                <w:rFonts w:cs="Segoe UI"/>
                <w:sz w:val="18"/>
                <w:szCs w:val="18"/>
              </w:rPr>
              <w:t>0%</w:t>
            </w:r>
          </w:p>
        </w:tc>
        <w:tc>
          <w:tcPr>
            <w:tcW w:w="1934" w:type="dxa"/>
          </w:tcPr>
          <w:p w14:paraId="67EFE403"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88</w:t>
            </w:r>
            <w:r w:rsidRPr="00523A68">
              <w:rPr>
                <w:rFonts w:cs="Segoe UI"/>
                <w:sz w:val="18"/>
                <w:szCs w:val="18"/>
              </w:rPr>
              <w:t>%</w:t>
            </w:r>
          </w:p>
        </w:tc>
      </w:tr>
      <w:tr w:rsidR="00C011B5" w:rsidRPr="00523A68" w14:paraId="6E1B6DBC"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tcPr>
          <w:p w14:paraId="3D4581C0" w14:textId="77777777" w:rsidR="00C011B5" w:rsidRPr="00523A68" w:rsidRDefault="00C011B5" w:rsidP="00E16443">
            <w:pPr>
              <w:jc w:val="both"/>
              <w:rPr>
                <w:rFonts w:cs="Segoe UI"/>
                <w:sz w:val="18"/>
                <w:szCs w:val="18"/>
              </w:rPr>
            </w:pPr>
          </w:p>
        </w:tc>
        <w:tc>
          <w:tcPr>
            <w:tcW w:w="2070" w:type="dxa"/>
          </w:tcPr>
          <w:p w14:paraId="2E8F7F96"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CSI</w:t>
            </w:r>
            <w:r w:rsidRPr="00523A68">
              <w:rPr>
                <w:rFonts w:cs="Segoe UI"/>
                <w:sz w:val="18"/>
                <w:szCs w:val="18"/>
              </w:rPr>
              <w:t xml:space="preserve"> 1</w:t>
            </w:r>
          </w:p>
        </w:tc>
        <w:tc>
          <w:tcPr>
            <w:tcW w:w="2157" w:type="dxa"/>
          </w:tcPr>
          <w:p w14:paraId="521E795A"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14%</w:t>
            </w:r>
          </w:p>
        </w:tc>
        <w:tc>
          <w:tcPr>
            <w:tcW w:w="1934" w:type="dxa"/>
          </w:tcPr>
          <w:p w14:paraId="7622660E"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86</w:t>
            </w:r>
            <w:r w:rsidRPr="00523A68">
              <w:rPr>
                <w:rFonts w:cs="Segoe UI"/>
                <w:sz w:val="18"/>
                <w:szCs w:val="18"/>
              </w:rPr>
              <w:t>%</w:t>
            </w:r>
          </w:p>
        </w:tc>
        <w:tc>
          <w:tcPr>
            <w:tcW w:w="1934" w:type="dxa"/>
          </w:tcPr>
          <w:p w14:paraId="20B22AAA"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0</w:t>
            </w:r>
            <w:r w:rsidRPr="00523A68">
              <w:rPr>
                <w:rFonts w:cs="Segoe UI"/>
                <w:sz w:val="18"/>
                <w:szCs w:val="18"/>
              </w:rPr>
              <w:t>%</w:t>
            </w:r>
          </w:p>
        </w:tc>
      </w:tr>
      <w:tr w:rsidR="00C011B5" w:rsidRPr="00523A68" w14:paraId="40B050C1"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tcPr>
          <w:p w14:paraId="2D4DA50F" w14:textId="77777777" w:rsidR="00C011B5" w:rsidRPr="00523A68" w:rsidRDefault="00C011B5" w:rsidP="00E16443">
            <w:pPr>
              <w:jc w:val="both"/>
              <w:rPr>
                <w:rFonts w:cs="Segoe UI"/>
                <w:sz w:val="18"/>
                <w:szCs w:val="18"/>
              </w:rPr>
            </w:pPr>
          </w:p>
        </w:tc>
        <w:tc>
          <w:tcPr>
            <w:tcW w:w="2070" w:type="dxa"/>
          </w:tcPr>
          <w:p w14:paraId="16C1E953"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CSI</w:t>
            </w:r>
            <w:r w:rsidRPr="00523A68">
              <w:rPr>
                <w:rFonts w:cs="Segoe UI"/>
                <w:sz w:val="18"/>
                <w:szCs w:val="18"/>
              </w:rPr>
              <w:t xml:space="preserve"> 2</w:t>
            </w:r>
          </w:p>
        </w:tc>
        <w:tc>
          <w:tcPr>
            <w:tcW w:w="2157" w:type="dxa"/>
          </w:tcPr>
          <w:p w14:paraId="2820C376"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19%</w:t>
            </w:r>
          </w:p>
        </w:tc>
        <w:tc>
          <w:tcPr>
            <w:tcW w:w="1934" w:type="dxa"/>
          </w:tcPr>
          <w:p w14:paraId="0BF74316"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81</w:t>
            </w:r>
            <w:r w:rsidRPr="00523A68">
              <w:rPr>
                <w:rFonts w:cs="Segoe UI"/>
                <w:sz w:val="18"/>
                <w:szCs w:val="18"/>
              </w:rPr>
              <w:t>%</w:t>
            </w:r>
          </w:p>
        </w:tc>
        <w:tc>
          <w:tcPr>
            <w:tcW w:w="1934" w:type="dxa"/>
          </w:tcPr>
          <w:p w14:paraId="27D565D4" w14:textId="77777777" w:rsidR="00C011B5" w:rsidRPr="00523A68" w:rsidRDefault="00C011B5"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0</w:t>
            </w:r>
            <w:r w:rsidRPr="00523A68">
              <w:rPr>
                <w:rFonts w:cs="Segoe UI"/>
                <w:sz w:val="18"/>
                <w:szCs w:val="18"/>
              </w:rPr>
              <w:t>%</w:t>
            </w:r>
          </w:p>
        </w:tc>
      </w:tr>
    </w:tbl>
    <w:p w14:paraId="7D472647" w14:textId="36CE559F" w:rsidR="00CB7ACA" w:rsidRDefault="00CB7ACA" w:rsidP="00993D59"/>
    <w:p w14:paraId="24B78D2E" w14:textId="28BDA8C3" w:rsidR="00C51B0E" w:rsidRDefault="00C51B0E" w:rsidP="00993D59"/>
    <w:p w14:paraId="0EFFFD9C" w14:textId="3FF06E00" w:rsidR="00C51B0E" w:rsidRDefault="00C51B0E" w:rsidP="00993D59"/>
    <w:p w14:paraId="05B8D490" w14:textId="08F1759F" w:rsidR="00C51B0E" w:rsidRDefault="00C51B0E" w:rsidP="00993D59"/>
    <w:p w14:paraId="3239F85B" w14:textId="294149B5" w:rsidR="00C51B0E" w:rsidRDefault="00C51B0E" w:rsidP="00993D59"/>
    <w:p w14:paraId="48B560FF" w14:textId="2F4D3DF2" w:rsidR="00C51B0E" w:rsidRDefault="00C51B0E" w:rsidP="00993D59"/>
    <w:p w14:paraId="414E3179" w14:textId="23920AB0" w:rsidR="00C51B0E" w:rsidRDefault="00C51B0E" w:rsidP="00993D59"/>
    <w:p w14:paraId="34B0CE24" w14:textId="77777777" w:rsidR="00C51B0E" w:rsidRDefault="00C51B0E" w:rsidP="00993D59"/>
    <w:p w14:paraId="2C3EBF1E" w14:textId="3618FB5A" w:rsidR="009A04BB" w:rsidRDefault="00915507" w:rsidP="009A04BB">
      <w:pPr>
        <w:pStyle w:val="H3NEWreportStyle"/>
        <w:numPr>
          <w:ilvl w:val="0"/>
          <w:numId w:val="0"/>
        </w:numPr>
        <w:spacing w:before="360"/>
        <w:ind w:left="1152" w:hanging="864"/>
      </w:pPr>
      <w:bookmarkStart w:id="248" w:name="_Toc501097066"/>
      <w:r>
        <w:t>B.2</w:t>
      </w:r>
      <w:r w:rsidR="009A04BB">
        <w:t>.3 Public buildings</w:t>
      </w:r>
      <w:bookmarkEnd w:id="248"/>
    </w:p>
    <w:p w14:paraId="584F5723" w14:textId="77777777" w:rsidR="004768FA" w:rsidRPr="00E91176" w:rsidRDefault="004768FA" w:rsidP="004768FA">
      <w:pPr>
        <w:jc w:val="both"/>
      </w:pPr>
      <w:r>
        <w:t xml:space="preserve">Based on consultations, we assume the following appliance and energy consumption profile for the different types of public building: </w:t>
      </w:r>
    </w:p>
    <w:p w14:paraId="76CEC070" w14:textId="79B77CFA" w:rsidR="004768FA" w:rsidRDefault="004768FA" w:rsidP="004768FA">
      <w:pPr>
        <w:pStyle w:val="Caption"/>
      </w:pPr>
      <w:bookmarkStart w:id="249" w:name="_Toc500969413"/>
      <w:r>
        <w:lastRenderedPageBreak/>
        <w:t xml:space="preserve">Table </w:t>
      </w:r>
      <w:fldSimple w:instr=" SEQ Table \* ARABIC ">
        <w:r w:rsidR="000D1C35">
          <w:rPr>
            <w:noProof/>
          </w:rPr>
          <w:t>49</w:t>
        </w:r>
      </w:fldSimple>
      <w:r>
        <w:t>: Electronic appliances by public building type</w:t>
      </w:r>
      <w:bookmarkEnd w:id="249"/>
    </w:p>
    <w:p w14:paraId="74B98A03" w14:textId="77777777" w:rsidR="004768FA" w:rsidRDefault="004768FA" w:rsidP="004768FA">
      <w:r w:rsidRPr="0079715B">
        <w:rPr>
          <w:noProof/>
        </w:rPr>
        <w:drawing>
          <wp:inline distT="0" distB="0" distL="0" distR="0" wp14:anchorId="0CF082B7" wp14:editId="01D35012">
            <wp:extent cx="5943600" cy="29218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921857"/>
                    </a:xfrm>
                    <a:prstGeom prst="rect">
                      <a:avLst/>
                    </a:prstGeom>
                    <a:noFill/>
                    <a:ln>
                      <a:noFill/>
                    </a:ln>
                  </pic:spPr>
                </pic:pic>
              </a:graphicData>
            </a:graphic>
          </wp:inline>
        </w:drawing>
      </w:r>
    </w:p>
    <w:p w14:paraId="2A0E1454" w14:textId="6BA8A444" w:rsidR="004768FA" w:rsidRDefault="004768FA" w:rsidP="004768FA">
      <w:pPr>
        <w:jc w:val="both"/>
      </w:pPr>
      <w:r>
        <w:t xml:space="preserve">We assume again that the on-grid/off-grid split for public buildings is the same as for households, along with the following specific assumptions based on insights gained from consultations: </w:t>
      </w:r>
    </w:p>
    <w:p w14:paraId="792E9E8C" w14:textId="4BA33C21" w:rsidR="004768FA" w:rsidRDefault="004768FA" w:rsidP="004768FA">
      <w:pPr>
        <w:pStyle w:val="Caption"/>
      </w:pPr>
      <w:bookmarkStart w:id="250" w:name="_Toc500969414"/>
      <w:r>
        <w:t xml:space="preserve">Table </w:t>
      </w:r>
      <w:fldSimple w:instr=" SEQ Table \* ARABIC ">
        <w:r w:rsidR="000D1C35">
          <w:rPr>
            <w:noProof/>
          </w:rPr>
          <w:t>50</w:t>
        </w:r>
      </w:fldSimple>
      <w:r>
        <w:t>: Assumptions on current electricity sources for other public buildings</w:t>
      </w:r>
      <w:bookmarkEnd w:id="250"/>
    </w:p>
    <w:tbl>
      <w:tblPr>
        <w:tblStyle w:val="GridTable6Colorful"/>
        <w:tblW w:w="0" w:type="auto"/>
        <w:tblLook w:val="0680" w:firstRow="0" w:lastRow="0" w:firstColumn="1" w:lastColumn="0" w:noHBand="1" w:noVBand="1"/>
      </w:tblPr>
      <w:tblGrid>
        <w:gridCol w:w="1255"/>
        <w:gridCol w:w="2250"/>
        <w:gridCol w:w="1977"/>
        <w:gridCol w:w="1934"/>
        <w:gridCol w:w="1934"/>
      </w:tblGrid>
      <w:tr w:rsidR="004768FA" w:rsidRPr="00523A68" w14:paraId="25CAD357"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val="restart"/>
            <w:shd w:val="clear" w:color="auto" w:fill="BFD4EF" w:themeFill="text1" w:themeFillTint="33"/>
            <w:vAlign w:val="center"/>
          </w:tcPr>
          <w:p w14:paraId="0C855E5E" w14:textId="77777777" w:rsidR="004768FA" w:rsidRPr="00AB3525" w:rsidRDefault="004768FA" w:rsidP="00E16443">
            <w:pPr>
              <w:jc w:val="right"/>
              <w:rPr>
                <w:rFonts w:cs="Segoe UI"/>
                <w:sz w:val="18"/>
                <w:szCs w:val="18"/>
              </w:rPr>
            </w:pPr>
          </w:p>
        </w:tc>
        <w:tc>
          <w:tcPr>
            <w:tcW w:w="2250" w:type="dxa"/>
            <w:vMerge w:val="restart"/>
            <w:shd w:val="clear" w:color="auto" w:fill="BFD4EF" w:themeFill="text1" w:themeFillTint="33"/>
            <w:vAlign w:val="center"/>
          </w:tcPr>
          <w:p w14:paraId="7381F936"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Institution</w:t>
            </w:r>
          </w:p>
          <w:p w14:paraId="5C428E3E"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sub-type</w:t>
            </w:r>
          </w:p>
        </w:tc>
        <w:tc>
          <w:tcPr>
            <w:tcW w:w="1977" w:type="dxa"/>
            <w:vMerge w:val="restart"/>
            <w:shd w:val="clear" w:color="auto" w:fill="BFD4EF" w:themeFill="text1" w:themeFillTint="33"/>
            <w:vAlign w:val="center"/>
          </w:tcPr>
          <w:p w14:paraId="0057C3A8"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on grid</w:t>
            </w:r>
          </w:p>
        </w:tc>
        <w:tc>
          <w:tcPr>
            <w:tcW w:w="3868" w:type="dxa"/>
            <w:gridSpan w:val="2"/>
            <w:shd w:val="clear" w:color="auto" w:fill="BFD4EF" w:themeFill="text1" w:themeFillTint="33"/>
            <w:vAlign w:val="center"/>
          </w:tcPr>
          <w:p w14:paraId="41F9C36C" w14:textId="77777777" w:rsidR="004768FA" w:rsidRPr="00AB3525" w:rsidRDefault="004768FA" w:rsidP="00E16443">
            <w:pPr>
              <w:jc w:val="center"/>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Off-grid</w:t>
            </w:r>
          </w:p>
        </w:tc>
      </w:tr>
      <w:tr w:rsidR="004768FA" w:rsidRPr="00523A68" w14:paraId="54C83E15" w14:textId="77777777" w:rsidTr="00E16443">
        <w:trPr>
          <w:trHeight w:val="288"/>
        </w:trPr>
        <w:tc>
          <w:tcPr>
            <w:cnfStyle w:val="001000000000" w:firstRow="0" w:lastRow="0" w:firstColumn="1" w:lastColumn="0" w:oddVBand="0" w:evenVBand="0" w:oddHBand="0" w:evenHBand="0" w:firstRowFirstColumn="0" w:firstRowLastColumn="0" w:lastRowFirstColumn="0" w:lastRowLastColumn="0"/>
            <w:tcW w:w="1255" w:type="dxa"/>
            <w:vMerge/>
            <w:shd w:val="clear" w:color="auto" w:fill="BFD4EF" w:themeFill="text1" w:themeFillTint="33"/>
          </w:tcPr>
          <w:p w14:paraId="711A6EF1" w14:textId="77777777" w:rsidR="004768FA" w:rsidRPr="00AB3525" w:rsidRDefault="004768FA" w:rsidP="00E16443">
            <w:pPr>
              <w:jc w:val="both"/>
              <w:rPr>
                <w:rFonts w:cs="Segoe UI"/>
                <w:sz w:val="18"/>
                <w:szCs w:val="18"/>
              </w:rPr>
            </w:pPr>
          </w:p>
        </w:tc>
        <w:tc>
          <w:tcPr>
            <w:tcW w:w="2250" w:type="dxa"/>
            <w:vMerge/>
            <w:shd w:val="clear" w:color="auto" w:fill="BFD4EF" w:themeFill="text1" w:themeFillTint="33"/>
          </w:tcPr>
          <w:p w14:paraId="1E1F188D"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1977" w:type="dxa"/>
            <w:vMerge/>
            <w:shd w:val="clear" w:color="auto" w:fill="BFD4EF" w:themeFill="text1" w:themeFillTint="33"/>
          </w:tcPr>
          <w:p w14:paraId="29FD9C96"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1934" w:type="dxa"/>
            <w:shd w:val="clear" w:color="auto" w:fill="BFD4EF" w:themeFill="text1" w:themeFillTint="33"/>
          </w:tcPr>
          <w:p w14:paraId="016CE549"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 xml:space="preserve">with diesel </w:t>
            </w:r>
            <w:r w:rsidRPr="00AB3525">
              <w:rPr>
                <w:rFonts w:cs="Segoe UI"/>
                <w:b/>
                <w:sz w:val="18"/>
                <w:szCs w:val="18"/>
              </w:rPr>
              <w:t>gen</w:t>
            </w:r>
            <w:r>
              <w:rPr>
                <w:rFonts w:cs="Segoe UI"/>
                <w:b/>
                <w:sz w:val="18"/>
                <w:szCs w:val="18"/>
              </w:rPr>
              <w:t>erator</w:t>
            </w:r>
          </w:p>
        </w:tc>
        <w:tc>
          <w:tcPr>
            <w:tcW w:w="1934" w:type="dxa"/>
            <w:shd w:val="clear" w:color="auto" w:fill="BFD4EF" w:themeFill="text1" w:themeFillTint="33"/>
          </w:tcPr>
          <w:p w14:paraId="49A4DD3D" w14:textId="77777777" w:rsidR="004768FA" w:rsidRPr="00AB3525"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AB3525">
              <w:rPr>
                <w:rFonts w:cs="Segoe UI"/>
                <w:b/>
                <w:sz w:val="18"/>
                <w:szCs w:val="18"/>
              </w:rPr>
              <w:t xml:space="preserve">% </w:t>
            </w:r>
            <w:r>
              <w:rPr>
                <w:rFonts w:cs="Segoe UI"/>
                <w:b/>
                <w:sz w:val="18"/>
                <w:szCs w:val="18"/>
              </w:rPr>
              <w:t>with traditional sources of lighting</w:t>
            </w:r>
          </w:p>
        </w:tc>
      </w:tr>
      <w:tr w:rsidR="004768FA" w:rsidRPr="00523A68" w14:paraId="7B177554" w14:textId="77777777" w:rsidTr="00E16443">
        <w:trPr>
          <w:trHeight w:val="278"/>
        </w:trPr>
        <w:tc>
          <w:tcPr>
            <w:cnfStyle w:val="001000000000" w:firstRow="0" w:lastRow="0" w:firstColumn="1" w:lastColumn="0" w:oddVBand="0" w:evenVBand="0" w:oddHBand="0" w:evenHBand="0" w:firstRowFirstColumn="0" w:firstRowLastColumn="0" w:lastRowFirstColumn="0" w:lastRowLastColumn="0"/>
            <w:tcW w:w="1255" w:type="dxa"/>
            <w:vMerge w:val="restart"/>
          </w:tcPr>
          <w:p w14:paraId="21029787" w14:textId="77777777" w:rsidR="004768FA" w:rsidRPr="00523A68" w:rsidRDefault="004768FA" w:rsidP="00E16443">
            <w:pPr>
              <w:rPr>
                <w:rFonts w:cs="Segoe UI"/>
                <w:sz w:val="18"/>
                <w:szCs w:val="18"/>
              </w:rPr>
            </w:pPr>
            <w:r>
              <w:rPr>
                <w:rFonts w:cs="Segoe UI"/>
                <w:sz w:val="18"/>
                <w:szCs w:val="18"/>
              </w:rPr>
              <w:t>Public buildings</w:t>
            </w:r>
          </w:p>
        </w:tc>
        <w:tc>
          <w:tcPr>
            <w:tcW w:w="2250" w:type="dxa"/>
          </w:tcPr>
          <w:p w14:paraId="7B7BDF18"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F94F53">
              <w:rPr>
                <w:rFonts w:cs="Segoe UI"/>
                <w:sz w:val="18"/>
                <w:szCs w:val="18"/>
              </w:rPr>
              <w:t xml:space="preserve">Commune admin. </w:t>
            </w:r>
          </w:p>
        </w:tc>
        <w:tc>
          <w:tcPr>
            <w:tcW w:w="1977" w:type="dxa"/>
          </w:tcPr>
          <w:p w14:paraId="5A2A9FBE"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2</w:t>
            </w:r>
            <w:r w:rsidRPr="00F94F53">
              <w:rPr>
                <w:rFonts w:cs="Segoe UI"/>
                <w:sz w:val="18"/>
                <w:szCs w:val="18"/>
              </w:rPr>
              <w:t>%</w:t>
            </w:r>
          </w:p>
        </w:tc>
        <w:tc>
          <w:tcPr>
            <w:tcW w:w="1934" w:type="dxa"/>
          </w:tcPr>
          <w:p w14:paraId="303F17F6"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F94F53">
              <w:rPr>
                <w:rFonts w:cs="Segoe UI"/>
                <w:sz w:val="18"/>
                <w:szCs w:val="18"/>
              </w:rPr>
              <w:t>0%</w:t>
            </w:r>
          </w:p>
        </w:tc>
        <w:tc>
          <w:tcPr>
            <w:tcW w:w="1934" w:type="dxa"/>
          </w:tcPr>
          <w:p w14:paraId="7F870D55"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98</w:t>
            </w:r>
            <w:r w:rsidRPr="00F94F53">
              <w:rPr>
                <w:rFonts w:cs="Segoe UI"/>
                <w:sz w:val="18"/>
                <w:szCs w:val="18"/>
              </w:rPr>
              <w:t>%</w:t>
            </w:r>
          </w:p>
        </w:tc>
      </w:tr>
      <w:tr w:rsidR="004768FA" w:rsidRPr="00523A68" w14:paraId="57E8752D" w14:textId="77777777" w:rsidTr="00E16443">
        <w:trPr>
          <w:trHeight w:val="278"/>
        </w:trPr>
        <w:tc>
          <w:tcPr>
            <w:cnfStyle w:val="001000000000" w:firstRow="0" w:lastRow="0" w:firstColumn="1" w:lastColumn="0" w:oddVBand="0" w:evenVBand="0" w:oddHBand="0" w:evenHBand="0" w:firstRowFirstColumn="0" w:firstRowLastColumn="0" w:lastRowFirstColumn="0" w:lastRowLastColumn="0"/>
            <w:tcW w:w="1255" w:type="dxa"/>
            <w:vMerge/>
          </w:tcPr>
          <w:p w14:paraId="4DFD16AB" w14:textId="77777777" w:rsidR="004768FA" w:rsidRPr="00523A68" w:rsidRDefault="004768FA" w:rsidP="00E16443">
            <w:pPr>
              <w:jc w:val="both"/>
              <w:rPr>
                <w:rFonts w:cs="Segoe UI"/>
                <w:sz w:val="18"/>
                <w:szCs w:val="18"/>
              </w:rPr>
            </w:pPr>
          </w:p>
        </w:tc>
        <w:tc>
          <w:tcPr>
            <w:tcW w:w="2250" w:type="dxa"/>
          </w:tcPr>
          <w:p w14:paraId="015B8168"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F94F53">
              <w:rPr>
                <w:rFonts w:cs="Segoe UI"/>
                <w:sz w:val="18"/>
                <w:szCs w:val="18"/>
              </w:rPr>
              <w:t xml:space="preserve">Department admin. </w:t>
            </w:r>
          </w:p>
        </w:tc>
        <w:tc>
          <w:tcPr>
            <w:tcW w:w="1977" w:type="dxa"/>
          </w:tcPr>
          <w:p w14:paraId="2E8019BF"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1</w:t>
            </w:r>
            <w:r w:rsidRPr="00F94F53">
              <w:rPr>
                <w:rFonts w:cs="Segoe UI"/>
                <w:sz w:val="18"/>
                <w:szCs w:val="18"/>
              </w:rPr>
              <w:t>%</w:t>
            </w:r>
          </w:p>
        </w:tc>
        <w:tc>
          <w:tcPr>
            <w:tcW w:w="1934" w:type="dxa"/>
          </w:tcPr>
          <w:p w14:paraId="03687940"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99</w:t>
            </w:r>
            <w:r w:rsidRPr="00F94F53">
              <w:rPr>
                <w:rFonts w:cs="Segoe UI"/>
                <w:sz w:val="18"/>
                <w:szCs w:val="18"/>
              </w:rPr>
              <w:t>%</w:t>
            </w:r>
          </w:p>
        </w:tc>
        <w:tc>
          <w:tcPr>
            <w:tcW w:w="1934" w:type="dxa"/>
          </w:tcPr>
          <w:p w14:paraId="5A004874"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0</w:t>
            </w:r>
            <w:r w:rsidRPr="00F94F53">
              <w:rPr>
                <w:rFonts w:cs="Segoe UI"/>
                <w:sz w:val="18"/>
                <w:szCs w:val="18"/>
              </w:rPr>
              <w:t>%</w:t>
            </w:r>
          </w:p>
        </w:tc>
      </w:tr>
      <w:tr w:rsidR="004768FA" w:rsidRPr="00523A68" w14:paraId="037520AA" w14:textId="77777777" w:rsidTr="00E16443">
        <w:trPr>
          <w:trHeight w:val="278"/>
        </w:trPr>
        <w:tc>
          <w:tcPr>
            <w:cnfStyle w:val="001000000000" w:firstRow="0" w:lastRow="0" w:firstColumn="1" w:lastColumn="0" w:oddVBand="0" w:evenVBand="0" w:oddHBand="0" w:evenHBand="0" w:firstRowFirstColumn="0" w:firstRowLastColumn="0" w:lastRowFirstColumn="0" w:lastRowLastColumn="0"/>
            <w:tcW w:w="1255" w:type="dxa"/>
            <w:vMerge/>
          </w:tcPr>
          <w:p w14:paraId="0BE41837" w14:textId="77777777" w:rsidR="004768FA" w:rsidRPr="00523A68" w:rsidRDefault="004768FA" w:rsidP="00E16443">
            <w:pPr>
              <w:jc w:val="both"/>
              <w:rPr>
                <w:rFonts w:cs="Segoe UI"/>
                <w:sz w:val="18"/>
                <w:szCs w:val="18"/>
              </w:rPr>
            </w:pPr>
          </w:p>
        </w:tc>
        <w:tc>
          <w:tcPr>
            <w:tcW w:w="2250" w:type="dxa"/>
          </w:tcPr>
          <w:p w14:paraId="4881B9CA"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Police stations &amp; c</w:t>
            </w:r>
            <w:r w:rsidRPr="00F94F53">
              <w:rPr>
                <w:rFonts w:cs="Segoe UI"/>
                <w:sz w:val="18"/>
                <w:szCs w:val="18"/>
              </w:rPr>
              <w:t>ourt</w:t>
            </w:r>
            <w:r>
              <w:rPr>
                <w:rFonts w:cs="Segoe UI"/>
                <w:sz w:val="18"/>
                <w:szCs w:val="18"/>
              </w:rPr>
              <w:t>s</w:t>
            </w:r>
          </w:p>
        </w:tc>
        <w:tc>
          <w:tcPr>
            <w:tcW w:w="1977" w:type="dxa"/>
          </w:tcPr>
          <w:p w14:paraId="33C162FC"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8</w:t>
            </w:r>
            <w:r w:rsidRPr="00F94F53">
              <w:rPr>
                <w:rFonts w:cs="Segoe UI"/>
                <w:sz w:val="18"/>
                <w:szCs w:val="18"/>
              </w:rPr>
              <w:t>%</w:t>
            </w:r>
          </w:p>
        </w:tc>
        <w:tc>
          <w:tcPr>
            <w:tcW w:w="1934" w:type="dxa"/>
          </w:tcPr>
          <w:p w14:paraId="1CFF26E7"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29</w:t>
            </w:r>
            <w:r w:rsidRPr="00F94F53">
              <w:rPr>
                <w:rFonts w:cs="Segoe UI"/>
                <w:sz w:val="18"/>
                <w:szCs w:val="18"/>
              </w:rPr>
              <w:t>%</w:t>
            </w:r>
          </w:p>
        </w:tc>
        <w:tc>
          <w:tcPr>
            <w:tcW w:w="1934" w:type="dxa"/>
          </w:tcPr>
          <w:p w14:paraId="03843F18"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63</w:t>
            </w:r>
            <w:r w:rsidRPr="00F94F53">
              <w:rPr>
                <w:rFonts w:cs="Segoe UI"/>
                <w:sz w:val="18"/>
                <w:szCs w:val="18"/>
              </w:rPr>
              <w:t>%</w:t>
            </w:r>
          </w:p>
        </w:tc>
      </w:tr>
      <w:tr w:rsidR="004768FA" w:rsidRPr="00523A68" w14:paraId="4FDDA62A" w14:textId="77777777" w:rsidTr="00E16443">
        <w:trPr>
          <w:trHeight w:val="278"/>
        </w:trPr>
        <w:tc>
          <w:tcPr>
            <w:cnfStyle w:val="001000000000" w:firstRow="0" w:lastRow="0" w:firstColumn="1" w:lastColumn="0" w:oddVBand="0" w:evenVBand="0" w:oddHBand="0" w:evenHBand="0" w:firstRowFirstColumn="0" w:firstRowLastColumn="0" w:lastRowFirstColumn="0" w:lastRowLastColumn="0"/>
            <w:tcW w:w="1255" w:type="dxa"/>
            <w:vMerge/>
          </w:tcPr>
          <w:p w14:paraId="3F72BBED" w14:textId="77777777" w:rsidR="004768FA" w:rsidRPr="00523A68" w:rsidRDefault="004768FA" w:rsidP="00E16443">
            <w:pPr>
              <w:jc w:val="both"/>
              <w:rPr>
                <w:rFonts w:cs="Segoe UI"/>
                <w:sz w:val="18"/>
                <w:szCs w:val="18"/>
              </w:rPr>
            </w:pPr>
          </w:p>
        </w:tc>
        <w:tc>
          <w:tcPr>
            <w:tcW w:w="2250" w:type="dxa"/>
          </w:tcPr>
          <w:p w14:paraId="2FA04658"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F94F53">
              <w:rPr>
                <w:rFonts w:cs="Segoe UI"/>
                <w:sz w:val="18"/>
                <w:szCs w:val="18"/>
              </w:rPr>
              <w:t>Prisons</w:t>
            </w:r>
          </w:p>
        </w:tc>
        <w:tc>
          <w:tcPr>
            <w:tcW w:w="1977" w:type="dxa"/>
          </w:tcPr>
          <w:p w14:paraId="32B7703E"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5</w:t>
            </w:r>
            <w:r w:rsidRPr="00F94F53">
              <w:rPr>
                <w:rFonts w:cs="Segoe UI"/>
                <w:sz w:val="18"/>
                <w:szCs w:val="18"/>
              </w:rPr>
              <w:t>%</w:t>
            </w:r>
          </w:p>
        </w:tc>
        <w:tc>
          <w:tcPr>
            <w:tcW w:w="1934" w:type="dxa"/>
          </w:tcPr>
          <w:p w14:paraId="4259BEEF"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2</w:t>
            </w:r>
            <w:r w:rsidRPr="00F94F53">
              <w:rPr>
                <w:rFonts w:cs="Segoe UI"/>
                <w:sz w:val="18"/>
                <w:szCs w:val="18"/>
              </w:rPr>
              <w:t>%</w:t>
            </w:r>
          </w:p>
        </w:tc>
        <w:tc>
          <w:tcPr>
            <w:tcW w:w="1934" w:type="dxa"/>
          </w:tcPr>
          <w:p w14:paraId="07FEAA73" w14:textId="77777777" w:rsidR="004768FA" w:rsidRPr="00F94F53" w:rsidRDefault="004768FA" w:rsidP="00E1644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93</w:t>
            </w:r>
            <w:r w:rsidRPr="00F94F53">
              <w:rPr>
                <w:rFonts w:cs="Segoe UI"/>
                <w:sz w:val="18"/>
                <w:szCs w:val="18"/>
              </w:rPr>
              <w:t>%</w:t>
            </w:r>
          </w:p>
        </w:tc>
      </w:tr>
    </w:tbl>
    <w:p w14:paraId="053C6F6E" w14:textId="5E3EF607" w:rsidR="004768FA" w:rsidRDefault="004768FA" w:rsidP="004768FA"/>
    <w:p w14:paraId="5C7FFA65" w14:textId="24158B88" w:rsidR="004768FA" w:rsidRDefault="004768FA" w:rsidP="004768FA">
      <w:pPr>
        <w:jc w:val="both"/>
      </w:pPr>
      <w:r>
        <w:t xml:space="preserve">The low ratio of police stations, court houses and prisons equipped with generators is based on insights from consultations that court houses are, for security reasons, commonly closed before sunset and there is a general tendency to minimize investment in police stations and prisons. </w:t>
      </w:r>
    </w:p>
    <w:p w14:paraId="6996B719" w14:textId="0A5F7DD7" w:rsidR="004768FA" w:rsidRDefault="004768FA" w:rsidP="004768FA">
      <w:pPr>
        <w:jc w:val="both"/>
      </w:pPr>
    </w:p>
    <w:p w14:paraId="02CF6891" w14:textId="5D13E243" w:rsidR="001F43C4" w:rsidRPr="00955049" w:rsidRDefault="00915507" w:rsidP="001F43C4">
      <w:pPr>
        <w:pStyle w:val="H2NEWreportStyle"/>
        <w:numPr>
          <w:ilvl w:val="0"/>
          <w:numId w:val="0"/>
        </w:numPr>
        <w:ind w:left="936" w:hanging="792"/>
      </w:pPr>
      <w:bookmarkStart w:id="251" w:name="_Toc501097067"/>
      <w:r>
        <w:t>B.3</w:t>
      </w:r>
      <w:r w:rsidR="001F43C4">
        <w:t xml:space="preserve"> Agricultural irrigation</w:t>
      </w:r>
      <w:bookmarkEnd w:id="251"/>
    </w:p>
    <w:p w14:paraId="0C6B4A9F" w14:textId="6CCCF4B4" w:rsidR="004768FA" w:rsidRDefault="00C8417B" w:rsidP="004768FA">
      <w:pPr>
        <w:jc w:val="both"/>
      </w:pPr>
      <w:r>
        <w:t>The analysis for agricultural irrigation is broken down into ‘large irrigation schemes’ and ‘small scale,</w:t>
      </w:r>
      <w:r w:rsidR="00647F69">
        <w:t xml:space="preserve"> individual irrigation schemes’, and the methodology for each is presented below.</w:t>
      </w:r>
    </w:p>
    <w:p w14:paraId="06ED1465" w14:textId="515D07B1" w:rsidR="00C8417B" w:rsidRDefault="00915507" w:rsidP="00C8417B">
      <w:pPr>
        <w:pStyle w:val="H3NEWreportStyle"/>
        <w:numPr>
          <w:ilvl w:val="0"/>
          <w:numId w:val="0"/>
        </w:numPr>
        <w:spacing w:before="360"/>
        <w:ind w:left="1152" w:hanging="864"/>
      </w:pPr>
      <w:bookmarkStart w:id="252" w:name="_Toc501097068"/>
      <w:r>
        <w:lastRenderedPageBreak/>
        <w:t>B.3</w:t>
      </w:r>
      <w:r w:rsidR="00C8417B">
        <w:t>.1 Large irrigation schemes</w:t>
      </w:r>
      <w:bookmarkEnd w:id="252"/>
    </w:p>
    <w:p w14:paraId="79F35D8C" w14:textId="77777777" w:rsidR="00E16443" w:rsidRDefault="00E16443" w:rsidP="00E16443">
      <w:pPr>
        <w:jc w:val="both"/>
        <w:rPr>
          <w:rFonts w:cs="Segoe UI"/>
        </w:rPr>
      </w:pPr>
      <w:r>
        <w:rPr>
          <w:rFonts w:cs="Segoe UI"/>
        </w:rPr>
        <w:t>We estimate power requirements for irrigating AHA based on (i) water volumes required (driven mainly by plot size and crop cultivated), (ii) the water source (e.g. wells require water to be pumped to the surface), and (iii) pumping distances (determined by the land area covered).</w:t>
      </w:r>
    </w:p>
    <w:p w14:paraId="0858B5E7" w14:textId="77777777" w:rsidR="00E16443" w:rsidRPr="002055A5" w:rsidRDefault="00E16443" w:rsidP="00E16443">
      <w:pPr>
        <w:jc w:val="both"/>
        <w:rPr>
          <w:rFonts w:cs="Segoe UI"/>
        </w:rPr>
      </w:pPr>
      <w:r>
        <w:rPr>
          <w:rFonts w:cs="Segoe UI"/>
        </w:rPr>
        <w:t>We then estimate solar system size requirements for water pumping as follows:</w:t>
      </w:r>
    </w:p>
    <w:p w14:paraId="4E472414" w14:textId="77777777" w:rsidR="00E16443" w:rsidRDefault="00E16443" w:rsidP="00E16443">
      <w:pPr>
        <w:pStyle w:val="ListParagraph"/>
        <w:numPr>
          <w:ilvl w:val="0"/>
          <w:numId w:val="10"/>
        </w:numPr>
        <w:spacing w:before="120" w:after="120"/>
        <w:contextualSpacing w:val="0"/>
        <w:jc w:val="both"/>
        <w:rPr>
          <w:rFonts w:cs="Segoe UI"/>
        </w:rPr>
      </w:pPr>
      <w:r>
        <w:rPr>
          <w:rFonts w:cs="Segoe UI"/>
        </w:rPr>
        <w:t>We determine the water needs for Niger’s irrigated land area based on data received from ONAHA on estimated historical water usage. We validate the data by combining</w:t>
      </w:r>
      <w:r w:rsidRPr="002055A5">
        <w:rPr>
          <w:rFonts w:cs="Segoe UI"/>
        </w:rPr>
        <w:t xml:space="preserve"> </w:t>
      </w:r>
      <w:r>
        <w:rPr>
          <w:rFonts w:cs="Segoe UI"/>
        </w:rPr>
        <w:t xml:space="preserve">domestic </w:t>
      </w:r>
      <w:r w:rsidRPr="002055A5">
        <w:rPr>
          <w:rFonts w:cs="Segoe UI"/>
        </w:rPr>
        <w:t xml:space="preserve">crop cultivation data with </w:t>
      </w:r>
      <w:r>
        <w:rPr>
          <w:rFonts w:cs="Segoe UI"/>
        </w:rPr>
        <w:t xml:space="preserve">West-African </w:t>
      </w:r>
      <w:r w:rsidRPr="002055A5">
        <w:rPr>
          <w:rFonts w:cs="Segoe UI"/>
        </w:rPr>
        <w:t xml:space="preserve">irrigation water footprint data and field efficiency (% of water supplied that </w:t>
      </w:r>
      <w:r>
        <w:rPr>
          <w:rFonts w:cs="Segoe UI"/>
        </w:rPr>
        <w:t xml:space="preserve">is absorbed by the </w:t>
      </w:r>
      <w:r w:rsidRPr="002055A5">
        <w:rPr>
          <w:rFonts w:cs="Segoe UI"/>
        </w:rPr>
        <w:t>crops)</w:t>
      </w:r>
      <w:r>
        <w:rPr>
          <w:rStyle w:val="FootnoteReference"/>
          <w:rFonts w:cs="Segoe UI"/>
        </w:rPr>
        <w:footnoteReference w:id="106"/>
      </w:r>
      <w:r w:rsidRPr="002055A5">
        <w:rPr>
          <w:rFonts w:cs="Segoe UI"/>
        </w:rPr>
        <w:t xml:space="preserve"> to derive </w:t>
      </w:r>
      <w:r>
        <w:rPr>
          <w:rFonts w:cs="Segoe UI"/>
        </w:rPr>
        <w:t>per hectare water requirements for rice and polyculture farming in Niger.</w:t>
      </w:r>
    </w:p>
    <w:p w14:paraId="1A3FDFD8" w14:textId="7844F1C3" w:rsidR="00E16443" w:rsidRDefault="00E16443" w:rsidP="00E16443">
      <w:pPr>
        <w:pStyle w:val="ListParagraph"/>
        <w:numPr>
          <w:ilvl w:val="0"/>
          <w:numId w:val="10"/>
        </w:numPr>
        <w:spacing w:before="120" w:after="120"/>
        <w:contextualSpacing w:val="0"/>
        <w:jc w:val="both"/>
        <w:rPr>
          <w:rFonts w:cs="Segoe UI"/>
        </w:rPr>
      </w:pPr>
      <w:r>
        <w:rPr>
          <w:rFonts w:cs="Segoe UI"/>
        </w:rPr>
        <w:t>Next, we adjust total water needs for rainfall by Region; see</w:t>
      </w:r>
      <w:r w:rsidR="006402C5">
        <w:rPr>
          <w:rFonts w:cs="Segoe UI"/>
        </w:rPr>
        <w:t xml:space="preserve"> </w:t>
      </w:r>
      <w:r w:rsidR="006402C5">
        <w:rPr>
          <w:rFonts w:cs="Segoe UI"/>
        </w:rPr>
        <w:fldChar w:fldCharType="begin"/>
      </w:r>
      <w:r w:rsidR="006402C5">
        <w:rPr>
          <w:rFonts w:cs="Segoe UI"/>
        </w:rPr>
        <w:instrText xml:space="preserve"> REF _Ref494313046 \h </w:instrText>
      </w:r>
      <w:r w:rsidR="006402C5">
        <w:rPr>
          <w:rFonts w:cs="Segoe UI"/>
        </w:rPr>
      </w:r>
      <w:r w:rsidR="006402C5">
        <w:rPr>
          <w:rFonts w:cs="Segoe UI"/>
        </w:rPr>
        <w:fldChar w:fldCharType="separate"/>
      </w:r>
      <w:r w:rsidR="000D1C35">
        <w:t xml:space="preserve">Table </w:t>
      </w:r>
      <w:r w:rsidR="000D1C35">
        <w:rPr>
          <w:noProof/>
        </w:rPr>
        <w:t>51</w:t>
      </w:r>
      <w:r w:rsidR="006402C5">
        <w:rPr>
          <w:rFonts w:cs="Segoe UI"/>
        </w:rPr>
        <w:fldChar w:fldCharType="end"/>
      </w:r>
      <w:r>
        <w:rPr>
          <w:rFonts w:cs="Segoe UI"/>
        </w:rPr>
        <w:t>.</w:t>
      </w:r>
    </w:p>
    <w:p w14:paraId="1F7B2D60" w14:textId="77777777" w:rsidR="00E16443" w:rsidRDefault="00E16443" w:rsidP="00E16443">
      <w:pPr>
        <w:pStyle w:val="ListParagraph"/>
        <w:numPr>
          <w:ilvl w:val="0"/>
          <w:numId w:val="10"/>
        </w:numPr>
        <w:spacing w:before="120" w:after="120"/>
        <w:contextualSpacing w:val="0"/>
        <w:jc w:val="both"/>
        <w:rPr>
          <w:rFonts w:cs="Segoe UI"/>
        </w:rPr>
      </w:pPr>
      <w:r>
        <w:rPr>
          <w:rFonts w:cs="Segoe UI"/>
        </w:rPr>
        <w:t>As many of the AHA are very large and require multiple water pumping stations to channel the necessary irrigation water – either from rivers, dams or wells – we assume that each water station serves a maximum of 25 hectares of surface area. This figure is based on insights gained during consultations and has been applied in absence of actual data on how many pumping stations are used to serve each AHA. We include further analysis to present how the surface area per pumping station affects business case and market size.</w:t>
      </w:r>
    </w:p>
    <w:p w14:paraId="53886F6D" w14:textId="1802E223" w:rsidR="00E16443" w:rsidRDefault="00E16443" w:rsidP="00E16443">
      <w:pPr>
        <w:pStyle w:val="Caption"/>
        <w:ind w:left="720"/>
        <w:jc w:val="both"/>
      </w:pPr>
      <w:bookmarkStart w:id="253" w:name="_Ref494313046"/>
      <w:bookmarkStart w:id="254" w:name="_Toc500969415"/>
      <w:r>
        <w:t xml:space="preserve">Table </w:t>
      </w:r>
      <w:fldSimple w:instr=" SEQ Table \* ARABIC ">
        <w:r w:rsidR="000D1C35">
          <w:rPr>
            <w:noProof/>
          </w:rPr>
          <w:t>51</w:t>
        </w:r>
      </w:fldSimple>
      <w:bookmarkEnd w:id="253"/>
      <w:r>
        <w:t>: Irrigation water needs and average flow capacities of pumping stations</w:t>
      </w:r>
      <w:bookmarkEnd w:id="254"/>
    </w:p>
    <w:p w14:paraId="3427813D" w14:textId="77777777" w:rsidR="00E16443" w:rsidRDefault="00E16443" w:rsidP="00E16443">
      <w:pPr>
        <w:pStyle w:val="ListParagraph"/>
        <w:spacing w:before="120" w:after="120"/>
        <w:contextualSpacing w:val="0"/>
        <w:jc w:val="both"/>
        <w:rPr>
          <w:rFonts w:cs="Segoe UI"/>
        </w:rPr>
      </w:pPr>
      <w:r w:rsidRPr="00784A0C">
        <w:rPr>
          <w:noProof/>
        </w:rPr>
        <w:drawing>
          <wp:inline distT="0" distB="0" distL="0" distR="0" wp14:anchorId="4973A1D3" wp14:editId="7413F018">
            <wp:extent cx="5010912" cy="1993392"/>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0912" cy="1993392"/>
                    </a:xfrm>
                    <a:prstGeom prst="rect">
                      <a:avLst/>
                    </a:prstGeom>
                    <a:noFill/>
                    <a:ln>
                      <a:noFill/>
                    </a:ln>
                  </pic:spPr>
                </pic:pic>
              </a:graphicData>
            </a:graphic>
          </wp:inline>
        </w:drawing>
      </w:r>
    </w:p>
    <w:p w14:paraId="6A95D66D" w14:textId="77777777" w:rsidR="00E16443" w:rsidRPr="00626DB8" w:rsidRDefault="00E16443" w:rsidP="00E16443">
      <w:pPr>
        <w:numPr>
          <w:ilvl w:val="0"/>
          <w:numId w:val="10"/>
        </w:numPr>
        <w:jc w:val="both"/>
        <w:rPr>
          <w:rFonts w:cs="Segoe UI"/>
        </w:rPr>
      </w:pPr>
      <w:r w:rsidRPr="00626DB8">
        <w:rPr>
          <w:rFonts w:cs="Segoe UI"/>
        </w:rPr>
        <w:t>Next, we estimate the surface pumping distance assuming that furrows are laid out across one diagonal of the surface area served by a pumping station; using this methodology the pumping distance to serve 10 hectares would be approximately 450 meters</w:t>
      </w:r>
      <w:r w:rsidRPr="00626DB8">
        <w:rPr>
          <w:rFonts w:cs="Segoe UI"/>
          <w:vertAlign w:val="superscript"/>
        </w:rPr>
        <w:footnoteReference w:id="107"/>
      </w:r>
      <w:r w:rsidRPr="00626DB8">
        <w:rPr>
          <w:rFonts w:cs="Segoe UI"/>
        </w:rPr>
        <w:t>. Further pumping power is required to lift the water out of wells, if applicable. Only five AHA (around 1,200 hectares) are served by wells, of which four are located in Maradi, and one in Zinder. Based on consultations, we have assumed that the wells in Maradi are on average 65 meters deep, and the well in Zinder 90 meters.</w:t>
      </w:r>
    </w:p>
    <w:p w14:paraId="11500890" w14:textId="77777777" w:rsidR="00E16443" w:rsidRPr="00626DB8" w:rsidRDefault="00E16443" w:rsidP="00E16443">
      <w:pPr>
        <w:numPr>
          <w:ilvl w:val="0"/>
          <w:numId w:val="10"/>
        </w:numPr>
        <w:jc w:val="both"/>
        <w:rPr>
          <w:rFonts w:cs="Segoe UI"/>
        </w:rPr>
      </w:pPr>
      <w:r w:rsidRPr="00626DB8">
        <w:rPr>
          <w:rFonts w:cs="Segoe UI"/>
        </w:rPr>
        <w:lastRenderedPageBreak/>
        <w:t xml:space="preserve">Based on data received from ONAHA on surface area, crop type, and water source by AHA, and the analysis of water needs as well as surface and lifting pumping requirements, we then develop the pumping capacity requirement for each pumping station </w:t>
      </w:r>
      <w:r>
        <w:rPr>
          <w:rFonts w:cs="Segoe UI"/>
        </w:rPr>
        <w:t xml:space="preserve">and </w:t>
      </w:r>
      <w:r w:rsidRPr="00626DB8">
        <w:rPr>
          <w:rFonts w:cs="Segoe UI"/>
        </w:rPr>
        <w:t xml:space="preserve">each AHA. </w:t>
      </w:r>
    </w:p>
    <w:p w14:paraId="4665448B" w14:textId="77777777" w:rsidR="00E16443" w:rsidRPr="00626DB8" w:rsidRDefault="00E16443" w:rsidP="00E16443">
      <w:pPr>
        <w:numPr>
          <w:ilvl w:val="0"/>
          <w:numId w:val="10"/>
        </w:numPr>
        <w:jc w:val="both"/>
        <w:rPr>
          <w:rFonts w:cs="Segoe UI"/>
        </w:rPr>
      </w:pPr>
      <w:r w:rsidRPr="00626DB8">
        <w:rPr>
          <w:rFonts w:cs="Segoe UI"/>
        </w:rPr>
        <w:t>Using data on irrigation capacity and costs of various solar-, and generator-powered pumping systems, we then develop the business case for solar water pumping. Based on this, we estimate the market size.</w:t>
      </w:r>
    </w:p>
    <w:p w14:paraId="3603663B" w14:textId="20B3A854" w:rsidR="00E16443" w:rsidRDefault="006402C5" w:rsidP="00E16443">
      <w:pPr>
        <w:jc w:val="both"/>
        <w:rPr>
          <w:rFonts w:cs="Segoe UI"/>
        </w:rPr>
      </w:pPr>
      <w:r>
        <w:rPr>
          <w:rFonts w:cs="Segoe UI"/>
        </w:rPr>
        <w:fldChar w:fldCharType="begin"/>
      </w:r>
      <w:r>
        <w:rPr>
          <w:rFonts w:cs="Segoe UI"/>
        </w:rPr>
        <w:instrText xml:space="preserve"> REF _Ref494313091 \h </w:instrText>
      </w:r>
      <w:r>
        <w:rPr>
          <w:rFonts w:cs="Segoe UI"/>
        </w:rPr>
      </w:r>
      <w:r>
        <w:rPr>
          <w:rFonts w:cs="Segoe UI"/>
        </w:rPr>
        <w:fldChar w:fldCharType="separate"/>
      </w:r>
      <w:r w:rsidR="000D1C35">
        <w:t xml:space="preserve">Table </w:t>
      </w:r>
      <w:r w:rsidR="000D1C35">
        <w:rPr>
          <w:noProof/>
        </w:rPr>
        <w:t>52</w:t>
      </w:r>
      <w:r>
        <w:rPr>
          <w:rFonts w:cs="Segoe UI"/>
        </w:rPr>
        <w:fldChar w:fldCharType="end"/>
      </w:r>
      <w:r>
        <w:rPr>
          <w:rFonts w:cs="Segoe UI"/>
        </w:rPr>
        <w:t xml:space="preserve"> </w:t>
      </w:r>
      <w:r w:rsidR="00E16443" w:rsidRPr="00626DB8">
        <w:rPr>
          <w:rFonts w:cs="Segoe UI"/>
        </w:rPr>
        <w:t xml:space="preserve">provides an overview of the electricity and investment needs per pumping station – with a maximum surface area coverage of </w:t>
      </w:r>
      <w:r w:rsidR="00E16443">
        <w:rPr>
          <w:rFonts w:cs="Segoe UI"/>
        </w:rPr>
        <w:t>2</w:t>
      </w:r>
      <w:r w:rsidR="00E16443" w:rsidRPr="00626DB8">
        <w:rPr>
          <w:rFonts w:cs="Segoe UI"/>
        </w:rPr>
        <w:t>5 hectares – for a selection of AHA chosen to display how crop and water source impact power requirements. Further, the total lifetime CAPEX for the AHA is displayed. The lifetime is determined by the estimated life of solar panels of 20 years. Lifetime CAPEX includes component replacements, such as batteries and inverters</w:t>
      </w:r>
      <w:r w:rsidR="00E16443" w:rsidRPr="00626DB8">
        <w:rPr>
          <w:rFonts w:cs="Segoe UI"/>
          <w:vertAlign w:val="superscript"/>
        </w:rPr>
        <w:footnoteReference w:id="108"/>
      </w:r>
      <w:r w:rsidR="00E16443" w:rsidRPr="00626DB8">
        <w:rPr>
          <w:rFonts w:cs="Segoe UI"/>
        </w:rPr>
        <w:t>, as well as other maintenance cost over that period. Rice farming requires higher water volumes per hectare than polyculture farming, which reflects in the higher flow capacities as displayed in m</w:t>
      </w:r>
      <w:r w:rsidR="00E16443" w:rsidRPr="00626DB8">
        <w:rPr>
          <w:rFonts w:cs="Segoe UI"/>
          <w:vertAlign w:val="superscript"/>
        </w:rPr>
        <w:t>3</w:t>
      </w:r>
      <w:r w:rsidR="00E16443" w:rsidRPr="00626DB8">
        <w:rPr>
          <w:rFonts w:cs="Segoe UI"/>
        </w:rPr>
        <w:t xml:space="preserve"> per hour. Further, lifting water out of wells consumes significantly more energy, which reflects in the considerably higher lifetime CAPEX values per pumping station for Djirataoua and Kakibaré as compared to the river/dam stations.</w:t>
      </w:r>
    </w:p>
    <w:p w14:paraId="3B75C831" w14:textId="1070AA0B" w:rsidR="00E16443" w:rsidRDefault="00E16443" w:rsidP="00E16443">
      <w:pPr>
        <w:pStyle w:val="Caption"/>
        <w:jc w:val="both"/>
      </w:pPr>
      <w:bookmarkStart w:id="255" w:name="_Ref494313091"/>
      <w:bookmarkStart w:id="256" w:name="_Toc500969416"/>
      <w:r>
        <w:t xml:space="preserve">Table </w:t>
      </w:r>
      <w:fldSimple w:instr=" SEQ Table \* ARABIC ">
        <w:r w:rsidR="000D1C35">
          <w:rPr>
            <w:noProof/>
          </w:rPr>
          <w:t>52</w:t>
        </w:r>
      </w:fldSimple>
      <w:bookmarkEnd w:id="255"/>
      <w:r>
        <w:t>: Overview of solar system needs for selective AHA</w:t>
      </w:r>
      <w:bookmarkEnd w:id="256"/>
    </w:p>
    <w:p w14:paraId="308DC2B7" w14:textId="77777777" w:rsidR="00E16443" w:rsidRDefault="00E16443" w:rsidP="00E16443">
      <w:pPr>
        <w:jc w:val="both"/>
        <w:rPr>
          <w:rFonts w:cs="Segoe UI"/>
        </w:rPr>
      </w:pPr>
      <w:r w:rsidRPr="00686786">
        <w:rPr>
          <w:noProof/>
        </w:rPr>
        <w:drawing>
          <wp:inline distT="0" distB="0" distL="0" distR="0" wp14:anchorId="3BEEBDC2" wp14:editId="50F28AD3">
            <wp:extent cx="5943600" cy="12787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278734"/>
                    </a:xfrm>
                    <a:prstGeom prst="rect">
                      <a:avLst/>
                    </a:prstGeom>
                    <a:noFill/>
                    <a:ln>
                      <a:noFill/>
                    </a:ln>
                  </pic:spPr>
                </pic:pic>
              </a:graphicData>
            </a:graphic>
          </wp:inline>
        </w:drawing>
      </w:r>
    </w:p>
    <w:p w14:paraId="5C0A6A4D" w14:textId="77777777" w:rsidR="00C8417B" w:rsidRDefault="00C8417B" w:rsidP="004768FA">
      <w:pPr>
        <w:jc w:val="both"/>
      </w:pPr>
    </w:p>
    <w:p w14:paraId="70E93BAA" w14:textId="0125A967" w:rsidR="00647F69" w:rsidRDefault="00915507" w:rsidP="00647F69">
      <w:pPr>
        <w:pStyle w:val="H3NEWreportStyle"/>
        <w:numPr>
          <w:ilvl w:val="0"/>
          <w:numId w:val="0"/>
        </w:numPr>
        <w:spacing w:before="360"/>
        <w:ind w:left="1152" w:hanging="864"/>
      </w:pPr>
      <w:bookmarkStart w:id="257" w:name="_Toc501097069"/>
      <w:r>
        <w:t>B.3</w:t>
      </w:r>
      <w:r w:rsidR="00647F69">
        <w:t>.2 Small scale, individual irrigation schemes</w:t>
      </w:r>
      <w:bookmarkEnd w:id="257"/>
    </w:p>
    <w:p w14:paraId="23E234B7" w14:textId="77777777" w:rsidR="008118F2" w:rsidRDefault="008118F2" w:rsidP="008118F2">
      <w:pPr>
        <w:jc w:val="both"/>
        <w:rPr>
          <w:rFonts w:cs="Segoe UI"/>
        </w:rPr>
      </w:pPr>
      <w:r>
        <w:rPr>
          <w:rFonts w:cs="Segoe UI"/>
        </w:rPr>
        <w:t>We analyze the irrigation water requirements in Niger as the basis for power requirements at the farm level; for the purpose of this analysis, c</w:t>
      </w:r>
      <w:r w:rsidRPr="002055A5">
        <w:rPr>
          <w:rFonts w:cs="Segoe UI"/>
        </w:rPr>
        <w:t xml:space="preserve">ommunity-level boreholes </w:t>
      </w:r>
      <w:r>
        <w:rPr>
          <w:rFonts w:cs="Segoe UI"/>
        </w:rPr>
        <w:t xml:space="preserve">and livestock-related water needs are </w:t>
      </w:r>
      <w:r w:rsidRPr="002055A5">
        <w:rPr>
          <w:rFonts w:cs="Segoe UI"/>
        </w:rPr>
        <w:t>considered separately</w:t>
      </w:r>
      <w:r>
        <w:rPr>
          <w:rFonts w:cs="Segoe UI"/>
        </w:rPr>
        <w:t xml:space="preserve"> later in the market sizing for water providers.</w:t>
      </w:r>
    </w:p>
    <w:p w14:paraId="380D071B" w14:textId="77777777" w:rsidR="008118F2" w:rsidRPr="002055A5" w:rsidRDefault="008118F2" w:rsidP="008118F2">
      <w:pPr>
        <w:jc w:val="both"/>
        <w:rPr>
          <w:rFonts w:cs="Segoe UI"/>
        </w:rPr>
      </w:pPr>
      <w:r>
        <w:rPr>
          <w:rFonts w:cs="Segoe UI"/>
        </w:rPr>
        <w:t>For modelling purposes, the following approach was taken to estimate water pumping requirements for smallholder farmers, and commercial farms:</w:t>
      </w:r>
    </w:p>
    <w:p w14:paraId="66D65A3E" w14:textId="3F093B0D" w:rsidR="008118F2" w:rsidRPr="00BD7BF8" w:rsidRDefault="008118F2" w:rsidP="001C46F8">
      <w:pPr>
        <w:pStyle w:val="ListParagraph"/>
        <w:numPr>
          <w:ilvl w:val="0"/>
          <w:numId w:val="43"/>
        </w:numPr>
        <w:spacing w:before="120" w:after="120"/>
        <w:contextualSpacing w:val="0"/>
        <w:jc w:val="both"/>
        <w:rPr>
          <w:rFonts w:cs="Segoe UI"/>
        </w:rPr>
      </w:pPr>
      <w:r w:rsidRPr="00BD7BF8">
        <w:rPr>
          <w:rFonts w:cs="Segoe UI"/>
        </w:rPr>
        <w:t xml:space="preserve">In the absence of representative farm size statistics and </w:t>
      </w:r>
      <w:r>
        <w:rPr>
          <w:rFonts w:cs="Segoe UI"/>
        </w:rPr>
        <w:t xml:space="preserve">data on the breakdown of </w:t>
      </w:r>
      <w:r w:rsidRPr="00BD7BF8">
        <w:rPr>
          <w:rFonts w:cs="Segoe UI"/>
        </w:rPr>
        <w:t xml:space="preserve">irrigated land area </w:t>
      </w:r>
      <w:r>
        <w:rPr>
          <w:rFonts w:cs="Segoe UI"/>
        </w:rPr>
        <w:t>b</w:t>
      </w:r>
      <w:r w:rsidRPr="00BD7BF8">
        <w:rPr>
          <w:rFonts w:cs="Segoe UI"/>
        </w:rPr>
        <w:t>y farm</w:t>
      </w:r>
      <w:r>
        <w:rPr>
          <w:rFonts w:cs="Segoe UI"/>
        </w:rPr>
        <w:t xml:space="preserve"> type</w:t>
      </w:r>
      <w:r w:rsidRPr="00BD7BF8">
        <w:rPr>
          <w:rFonts w:cs="Segoe UI"/>
        </w:rPr>
        <w:t>, we take the Nigerien farm size range (0.2 hectares to 8 hectares)</w:t>
      </w:r>
      <w:r>
        <w:rPr>
          <w:rStyle w:val="FootnoteReference"/>
          <w:rFonts w:cs="Segoe UI"/>
        </w:rPr>
        <w:footnoteReference w:id="109"/>
      </w:r>
      <w:r w:rsidRPr="00BD7BF8">
        <w:rPr>
          <w:rFonts w:cs="Segoe UI"/>
        </w:rPr>
        <w:t xml:space="preserve">, </w:t>
      </w:r>
      <w:r>
        <w:rPr>
          <w:rFonts w:cs="Segoe UI"/>
        </w:rPr>
        <w:t>and</w:t>
      </w:r>
      <w:r w:rsidRPr="00BD7BF8">
        <w:rPr>
          <w:rFonts w:cs="Segoe UI"/>
        </w:rPr>
        <w:t xml:space="preserve"> assume that agricultural land in Niger can be broken down into a representative group of farms typical of </w:t>
      </w:r>
      <w:r w:rsidRPr="00BD7BF8">
        <w:rPr>
          <w:rFonts w:cs="Segoe UI"/>
        </w:rPr>
        <w:lastRenderedPageBreak/>
        <w:t xml:space="preserve">many African countries in early stages of development, </w:t>
      </w:r>
      <w:r>
        <w:rPr>
          <w:rFonts w:cs="Segoe UI"/>
        </w:rPr>
        <w:t xml:space="preserve">representing </w:t>
      </w:r>
      <w:r w:rsidRPr="00BD7BF8">
        <w:rPr>
          <w:rFonts w:cs="Segoe UI"/>
        </w:rPr>
        <w:t>the socio-economic conditions</w:t>
      </w:r>
      <w:r>
        <w:rPr>
          <w:rFonts w:cs="Segoe UI"/>
        </w:rPr>
        <w:t xml:space="preserve"> in Niger. We then assume, b</w:t>
      </w:r>
      <w:r w:rsidRPr="006668AA">
        <w:rPr>
          <w:rFonts w:cs="Segoe UI"/>
        </w:rPr>
        <w:t>ased on insights from consultations, that farms irrigate on average 7</w:t>
      </w:r>
      <w:r>
        <w:rPr>
          <w:rFonts w:cs="Segoe UI"/>
        </w:rPr>
        <w:t>0% of their farm land. T</w:t>
      </w:r>
      <w:r w:rsidRPr="00BD7BF8">
        <w:rPr>
          <w:rFonts w:cs="Segoe UI"/>
        </w:rPr>
        <w:t>he portfolio of farms used throughout our analysis is presented in</w:t>
      </w:r>
      <w:r w:rsidR="00F5256B">
        <w:rPr>
          <w:rFonts w:cs="Segoe UI"/>
        </w:rPr>
        <w:t xml:space="preserve"> </w:t>
      </w:r>
      <w:r w:rsidR="00F5256B">
        <w:rPr>
          <w:rFonts w:cs="Segoe UI"/>
        </w:rPr>
        <w:fldChar w:fldCharType="begin"/>
      </w:r>
      <w:r w:rsidR="00F5256B">
        <w:rPr>
          <w:rFonts w:cs="Segoe UI"/>
        </w:rPr>
        <w:instrText xml:space="preserve"> REF _Ref494313179 \h </w:instrText>
      </w:r>
      <w:r w:rsidR="00F5256B">
        <w:rPr>
          <w:rFonts w:cs="Segoe UI"/>
        </w:rPr>
      </w:r>
      <w:r w:rsidR="00F5256B">
        <w:rPr>
          <w:rFonts w:cs="Segoe UI"/>
        </w:rPr>
        <w:fldChar w:fldCharType="separate"/>
      </w:r>
      <w:r w:rsidR="000D1C35">
        <w:t xml:space="preserve">Table </w:t>
      </w:r>
      <w:r w:rsidR="000D1C35">
        <w:rPr>
          <w:noProof/>
        </w:rPr>
        <w:t>53</w:t>
      </w:r>
      <w:r w:rsidR="00F5256B">
        <w:rPr>
          <w:rFonts w:cs="Segoe UI"/>
        </w:rPr>
        <w:fldChar w:fldCharType="end"/>
      </w:r>
      <w:r w:rsidRPr="00BD7BF8">
        <w:rPr>
          <w:rFonts w:cs="Segoe UI"/>
        </w:rPr>
        <w:t>.</w:t>
      </w:r>
    </w:p>
    <w:p w14:paraId="4850E8A5" w14:textId="1F47F705" w:rsidR="008118F2" w:rsidRDefault="008118F2" w:rsidP="008118F2">
      <w:pPr>
        <w:pStyle w:val="Caption"/>
        <w:ind w:left="720"/>
        <w:jc w:val="both"/>
      </w:pPr>
      <w:bookmarkStart w:id="258" w:name="_Ref494313179"/>
      <w:bookmarkStart w:id="259" w:name="_Toc500969417"/>
      <w:r>
        <w:t xml:space="preserve">Table </w:t>
      </w:r>
      <w:fldSimple w:instr=" SEQ Table \* ARABIC ">
        <w:r w:rsidR="000D1C35">
          <w:rPr>
            <w:noProof/>
          </w:rPr>
          <w:t>53</w:t>
        </w:r>
      </w:fldSimple>
      <w:bookmarkEnd w:id="258"/>
      <w:r>
        <w:t>: Breakdown of irrigated land by farm type (small scale, individual irrigation schemes)</w:t>
      </w:r>
      <w:bookmarkEnd w:id="259"/>
      <w:r>
        <w:t xml:space="preserve"> </w:t>
      </w:r>
    </w:p>
    <w:p w14:paraId="62F9DFE6" w14:textId="77777777" w:rsidR="008118F2" w:rsidRDefault="008118F2" w:rsidP="008118F2">
      <w:pPr>
        <w:pStyle w:val="ListParagraph"/>
        <w:tabs>
          <w:tab w:val="left" w:pos="810"/>
        </w:tabs>
        <w:spacing w:before="120" w:after="120"/>
        <w:contextualSpacing w:val="0"/>
        <w:jc w:val="both"/>
        <w:rPr>
          <w:rFonts w:cs="Segoe UI"/>
        </w:rPr>
      </w:pPr>
      <w:r w:rsidRPr="00CE699C">
        <w:rPr>
          <w:noProof/>
        </w:rPr>
        <w:drawing>
          <wp:inline distT="0" distB="0" distL="0" distR="0" wp14:anchorId="12D37004" wp14:editId="547D0758">
            <wp:extent cx="5559552" cy="1316736"/>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59552" cy="1316736"/>
                    </a:xfrm>
                    <a:prstGeom prst="rect">
                      <a:avLst/>
                    </a:prstGeom>
                    <a:noFill/>
                    <a:ln>
                      <a:noFill/>
                    </a:ln>
                  </pic:spPr>
                </pic:pic>
              </a:graphicData>
            </a:graphic>
          </wp:inline>
        </w:drawing>
      </w:r>
    </w:p>
    <w:p w14:paraId="270F7238" w14:textId="4A704A94" w:rsidR="008118F2" w:rsidRPr="00D8347E" w:rsidRDefault="008118F2" w:rsidP="001C46F8">
      <w:pPr>
        <w:numPr>
          <w:ilvl w:val="0"/>
          <w:numId w:val="43"/>
        </w:numPr>
        <w:spacing w:before="120" w:after="120"/>
        <w:jc w:val="both"/>
        <w:rPr>
          <w:rFonts w:cs="Segoe UI"/>
        </w:rPr>
      </w:pPr>
      <w:r w:rsidRPr="00D8347E">
        <w:rPr>
          <w:rFonts w:cs="Segoe UI"/>
        </w:rPr>
        <w:t>We allocate the farms to Regions based on the Region-level breakdown of irrigated land area (excluding ONAHA; see</w:t>
      </w:r>
      <w:r w:rsidR="00F5256B">
        <w:rPr>
          <w:rFonts w:cs="Segoe UI"/>
        </w:rPr>
        <w:t xml:space="preserve"> </w:t>
      </w:r>
      <w:r w:rsidR="00F5256B">
        <w:rPr>
          <w:rFonts w:cs="Segoe UI"/>
        </w:rPr>
        <w:fldChar w:fldCharType="begin"/>
      </w:r>
      <w:r w:rsidR="00F5256B">
        <w:rPr>
          <w:rFonts w:cs="Segoe UI"/>
        </w:rPr>
        <w:instrText xml:space="preserve"> REF _Ref494313224 \h </w:instrText>
      </w:r>
      <w:r w:rsidR="00F5256B">
        <w:rPr>
          <w:rFonts w:cs="Segoe UI"/>
        </w:rPr>
      </w:r>
      <w:r w:rsidR="00F5256B">
        <w:rPr>
          <w:rFonts w:cs="Segoe UI"/>
        </w:rPr>
        <w:fldChar w:fldCharType="separate"/>
      </w:r>
      <w:r w:rsidR="000D1C35">
        <w:t xml:space="preserve">Table </w:t>
      </w:r>
      <w:r w:rsidR="000D1C35">
        <w:rPr>
          <w:noProof/>
        </w:rPr>
        <w:t>54</w:t>
      </w:r>
      <w:r w:rsidR="00F5256B">
        <w:rPr>
          <w:rFonts w:cs="Segoe UI"/>
        </w:rPr>
        <w:fldChar w:fldCharType="end"/>
      </w:r>
      <w:r w:rsidRPr="00D8347E">
        <w:rPr>
          <w:rFonts w:cs="Segoe UI"/>
        </w:rPr>
        <w:t>); and then allocate farms to commune level based on the number of farming households per commune.</w:t>
      </w:r>
    </w:p>
    <w:p w14:paraId="169D84E5" w14:textId="77777777" w:rsidR="008118F2" w:rsidRPr="009F380A" w:rsidRDefault="008118F2" w:rsidP="001C46F8">
      <w:pPr>
        <w:numPr>
          <w:ilvl w:val="0"/>
          <w:numId w:val="43"/>
        </w:numPr>
        <w:spacing w:before="120" w:after="120"/>
        <w:jc w:val="both"/>
        <w:rPr>
          <w:rFonts w:cs="Segoe UI"/>
        </w:rPr>
      </w:pPr>
      <w:r w:rsidRPr="00D8347E">
        <w:rPr>
          <w:rFonts w:cs="Segoe UI"/>
        </w:rPr>
        <w:t>We assume that smallholder and commercial farms have daily irrigation needs of around 80 m</w:t>
      </w:r>
      <w:r w:rsidRPr="00D8347E">
        <w:rPr>
          <w:rFonts w:cs="Segoe UI"/>
          <w:vertAlign w:val="superscript"/>
        </w:rPr>
        <w:t>3</w:t>
      </w:r>
      <w:r w:rsidRPr="00D8347E">
        <w:rPr>
          <w:rFonts w:cs="Segoe UI"/>
        </w:rPr>
        <w:t xml:space="preserve"> of water per hectare per day during productive seasons</w:t>
      </w:r>
      <w:r w:rsidRPr="00D8347E">
        <w:rPr>
          <w:rFonts w:cs="Segoe UI"/>
          <w:vertAlign w:val="superscript"/>
        </w:rPr>
        <w:footnoteReference w:id="110"/>
      </w:r>
      <w:r w:rsidRPr="00D8347E">
        <w:rPr>
          <w:rFonts w:cs="Segoe UI"/>
        </w:rPr>
        <w:t>; the total number of productive days, adjusted for rainfall days, is estimated at on average 194 per year.</w:t>
      </w:r>
      <w:r w:rsidRPr="00D8347E">
        <w:rPr>
          <w:rFonts w:cs="Segoe UI"/>
          <w:vertAlign w:val="superscript"/>
        </w:rPr>
        <w:footnoteReference w:id="111"/>
      </w:r>
      <w:r w:rsidRPr="00D8347E">
        <w:rPr>
          <w:rFonts w:cs="Segoe UI"/>
        </w:rPr>
        <w:t xml:space="preserve"> Effective pumping hours per day for irrigation purposes is estimated </w:t>
      </w:r>
      <w:r w:rsidRPr="009F380A">
        <w:rPr>
          <w:rFonts w:cs="Segoe UI"/>
        </w:rPr>
        <w:t>at seven hours.</w:t>
      </w:r>
      <w:r w:rsidRPr="009F380A">
        <w:rPr>
          <w:rFonts w:cs="Segoe UI"/>
          <w:vertAlign w:val="superscript"/>
        </w:rPr>
        <w:footnoteReference w:id="112"/>
      </w:r>
    </w:p>
    <w:p w14:paraId="340001A9" w14:textId="77777777" w:rsidR="008118F2" w:rsidRDefault="008118F2" w:rsidP="008118F2">
      <w:pPr>
        <w:pStyle w:val="Caption"/>
        <w:ind w:left="720"/>
        <w:jc w:val="both"/>
        <w:rPr>
          <w:rFonts w:cs="Segoe UI"/>
          <w:b w:val="0"/>
          <w:bCs w:val="0"/>
          <w:color w:val="auto"/>
          <w:sz w:val="22"/>
          <w:szCs w:val="22"/>
        </w:rPr>
      </w:pPr>
      <w:r w:rsidRPr="009F380A">
        <w:rPr>
          <w:rFonts w:cs="Segoe UI"/>
          <w:b w:val="0"/>
          <w:bCs w:val="0"/>
          <w:color w:val="auto"/>
          <w:sz w:val="22"/>
          <w:szCs w:val="22"/>
        </w:rPr>
        <w:t>The breakdown into five farm sizes allows us to identify the suitable water pumping solution for each farm type. We further differentiate each of the five farm sizes by the source of water, namely: (i) rivers and dams, (ii) shallow boreholes at a depth of 5 to 7</w:t>
      </w:r>
      <w:r w:rsidRPr="00D8347E">
        <w:rPr>
          <w:rFonts w:cs="Segoe UI"/>
          <w:b w:val="0"/>
          <w:bCs w:val="0"/>
          <w:color w:val="auto"/>
          <w:sz w:val="22"/>
          <w:szCs w:val="22"/>
        </w:rPr>
        <w:t xml:space="preserve"> meters, and (iii) deep boreholes at a depth of fifteen-meters.</w:t>
      </w:r>
      <w:r w:rsidRPr="00D8347E">
        <w:rPr>
          <w:rFonts w:cs="Segoe UI"/>
          <w:b w:val="0"/>
          <w:bCs w:val="0"/>
          <w:color w:val="auto"/>
          <w:sz w:val="22"/>
          <w:szCs w:val="22"/>
          <w:vertAlign w:val="superscript"/>
        </w:rPr>
        <w:footnoteReference w:id="113"/>
      </w:r>
      <w:r w:rsidRPr="00D8347E">
        <w:rPr>
          <w:rFonts w:cs="Segoe UI"/>
          <w:b w:val="0"/>
          <w:bCs w:val="0"/>
          <w:color w:val="auto"/>
          <w:sz w:val="22"/>
          <w:szCs w:val="22"/>
        </w:rPr>
        <w:t xml:space="preserve"> Specifically, we estimate the following regional breakdown of irrigated land area by water source:</w:t>
      </w:r>
      <w:r w:rsidRPr="00D8347E">
        <w:rPr>
          <w:rFonts w:cs="Segoe UI"/>
          <w:b w:val="0"/>
          <w:bCs w:val="0"/>
          <w:color w:val="auto"/>
          <w:sz w:val="22"/>
          <w:szCs w:val="22"/>
          <w:vertAlign w:val="superscript"/>
        </w:rPr>
        <w:footnoteReference w:id="114"/>
      </w:r>
    </w:p>
    <w:p w14:paraId="7F4C7A45" w14:textId="48D81553" w:rsidR="008118F2" w:rsidRDefault="008118F2" w:rsidP="008118F2">
      <w:pPr>
        <w:pStyle w:val="Caption"/>
        <w:ind w:left="720"/>
        <w:jc w:val="both"/>
      </w:pPr>
      <w:bookmarkStart w:id="260" w:name="_Ref494313224"/>
      <w:bookmarkStart w:id="261" w:name="_Toc500969418"/>
      <w:r>
        <w:t xml:space="preserve">Table </w:t>
      </w:r>
      <w:fldSimple w:instr=" SEQ Table \* ARABIC ">
        <w:r w:rsidR="000D1C35">
          <w:rPr>
            <w:noProof/>
          </w:rPr>
          <w:t>54</w:t>
        </w:r>
      </w:fldSimple>
      <w:bookmarkEnd w:id="260"/>
      <w:r>
        <w:t>: Irrigated land area by Region and breakdown of irrigated area by water source</w:t>
      </w:r>
      <w:bookmarkEnd w:id="261"/>
    </w:p>
    <w:p w14:paraId="33FBAD04" w14:textId="77777777" w:rsidR="008118F2" w:rsidRDefault="008118F2" w:rsidP="008118F2">
      <w:pPr>
        <w:pStyle w:val="ListParagraph"/>
        <w:spacing w:before="120" w:after="120"/>
        <w:contextualSpacing w:val="0"/>
        <w:jc w:val="both"/>
        <w:rPr>
          <w:rFonts w:cs="Segoe UI"/>
        </w:rPr>
      </w:pPr>
      <w:r w:rsidRPr="00266EF0">
        <w:rPr>
          <w:noProof/>
        </w:rPr>
        <w:drawing>
          <wp:inline distT="0" distB="0" distL="0" distR="0" wp14:anchorId="5B8F9628" wp14:editId="2E80588B">
            <wp:extent cx="5010912" cy="16642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10912" cy="1664208"/>
                    </a:xfrm>
                    <a:prstGeom prst="rect">
                      <a:avLst/>
                    </a:prstGeom>
                    <a:noFill/>
                    <a:ln>
                      <a:noFill/>
                    </a:ln>
                  </pic:spPr>
                </pic:pic>
              </a:graphicData>
            </a:graphic>
          </wp:inline>
        </w:drawing>
      </w:r>
    </w:p>
    <w:p w14:paraId="59294758" w14:textId="77777777" w:rsidR="008118F2" w:rsidRPr="00157481" w:rsidRDefault="008118F2" w:rsidP="001C46F8">
      <w:pPr>
        <w:pStyle w:val="ListParagraph"/>
        <w:numPr>
          <w:ilvl w:val="0"/>
          <w:numId w:val="43"/>
        </w:numPr>
        <w:spacing w:before="120" w:after="120"/>
        <w:contextualSpacing w:val="0"/>
        <w:jc w:val="both"/>
        <w:rPr>
          <w:rFonts w:cs="Segoe UI"/>
        </w:rPr>
      </w:pPr>
      <w:r w:rsidRPr="00157481">
        <w:rPr>
          <w:rFonts w:cs="Segoe UI"/>
        </w:rPr>
        <w:t>Using data on irrigation capacity and costs of various solar</w:t>
      </w:r>
      <w:r>
        <w:rPr>
          <w:rFonts w:cs="Segoe UI"/>
        </w:rPr>
        <w:t>-, and generator-powered</w:t>
      </w:r>
      <w:r w:rsidRPr="00157481">
        <w:rPr>
          <w:rFonts w:cs="Segoe UI"/>
        </w:rPr>
        <w:t xml:space="preserve"> products, we then develop the business case for solar </w:t>
      </w:r>
      <w:r>
        <w:rPr>
          <w:rFonts w:cs="Segoe UI"/>
        </w:rPr>
        <w:t xml:space="preserve">water pumping. Next, we </w:t>
      </w:r>
      <w:r w:rsidRPr="00157481">
        <w:rPr>
          <w:rFonts w:cs="Segoe UI"/>
        </w:rPr>
        <w:t xml:space="preserve">estimate the market size, taking </w:t>
      </w:r>
      <w:r w:rsidRPr="00157481">
        <w:rPr>
          <w:rFonts w:cs="Segoe UI"/>
        </w:rPr>
        <w:lastRenderedPageBreak/>
        <w:t>affordability considerations from household-level analysis into account for smallholder farmers as necessary.</w:t>
      </w:r>
    </w:p>
    <w:p w14:paraId="0A263E94" w14:textId="5CFF4EEF" w:rsidR="008118F2" w:rsidRDefault="00F5256B" w:rsidP="008118F2">
      <w:pPr>
        <w:jc w:val="both"/>
        <w:rPr>
          <w:rFonts w:cs="Segoe UI"/>
        </w:rPr>
      </w:pPr>
      <w:r>
        <w:rPr>
          <w:rFonts w:cs="Segoe UI"/>
        </w:rPr>
        <w:fldChar w:fldCharType="begin"/>
      </w:r>
      <w:r>
        <w:rPr>
          <w:rFonts w:cs="Segoe UI"/>
        </w:rPr>
        <w:instrText xml:space="preserve"> REF _Ref494313253 \h </w:instrText>
      </w:r>
      <w:r>
        <w:rPr>
          <w:rFonts w:cs="Segoe UI"/>
        </w:rPr>
      </w:r>
      <w:r>
        <w:rPr>
          <w:rFonts w:cs="Segoe UI"/>
        </w:rPr>
        <w:fldChar w:fldCharType="separate"/>
      </w:r>
      <w:r w:rsidR="000D1C35">
        <w:t xml:space="preserve">Table </w:t>
      </w:r>
      <w:r w:rsidR="000D1C35">
        <w:rPr>
          <w:noProof/>
        </w:rPr>
        <w:t>55</w:t>
      </w:r>
      <w:r>
        <w:rPr>
          <w:rFonts w:cs="Segoe UI"/>
        </w:rPr>
        <w:fldChar w:fldCharType="end"/>
      </w:r>
      <w:r>
        <w:rPr>
          <w:rFonts w:cs="Segoe UI"/>
        </w:rPr>
        <w:t xml:space="preserve"> </w:t>
      </w:r>
      <w:r w:rsidR="008118F2">
        <w:rPr>
          <w:rFonts w:cs="Segoe UI"/>
        </w:rPr>
        <w:t>provides an overview of the pumping solutions included in the analysis. We have included two solar pumping kits</w:t>
      </w:r>
      <w:r w:rsidR="008118F2">
        <w:rPr>
          <w:rStyle w:val="FootnoteReference"/>
          <w:rFonts w:cs="Segoe UI"/>
        </w:rPr>
        <w:footnoteReference w:id="115"/>
      </w:r>
      <w:r w:rsidR="008118F2">
        <w:rPr>
          <w:rFonts w:cs="Segoe UI"/>
        </w:rPr>
        <w:t xml:space="preserve"> as options for small-scale farming</w:t>
      </w:r>
      <w:r w:rsidR="003367E0">
        <w:rPr>
          <w:rFonts w:cs="Segoe UI"/>
        </w:rPr>
        <w:t xml:space="preserve"> and </w:t>
      </w:r>
      <w:r w:rsidR="008118F2">
        <w:rPr>
          <w:rFonts w:cs="Segoe UI"/>
        </w:rPr>
        <w:t xml:space="preserve">component solutions offering a combination of conventional water pumps for agriculture and solar systems. The solar systems include solar panels, battery, inverter and the required cables.  </w:t>
      </w:r>
    </w:p>
    <w:p w14:paraId="783B6A9C" w14:textId="24ECD6A7" w:rsidR="008118F2" w:rsidRDefault="008118F2" w:rsidP="008118F2">
      <w:pPr>
        <w:pStyle w:val="Caption"/>
      </w:pPr>
      <w:bookmarkStart w:id="262" w:name="_Ref494313253"/>
      <w:bookmarkStart w:id="263" w:name="_Toc500969419"/>
      <w:r>
        <w:t xml:space="preserve">Table </w:t>
      </w:r>
      <w:fldSimple w:instr=" SEQ Table \* ARABIC ">
        <w:r w:rsidR="000D1C35">
          <w:rPr>
            <w:noProof/>
          </w:rPr>
          <w:t>55</w:t>
        </w:r>
      </w:fldSimple>
      <w:bookmarkEnd w:id="262"/>
      <w:r>
        <w:t>: Overview of pumping solutions for irrigation</w:t>
      </w:r>
      <w:bookmarkEnd w:id="263"/>
    </w:p>
    <w:p w14:paraId="1A75E161" w14:textId="360F85D1" w:rsidR="008118F2" w:rsidRDefault="00B46BAD" w:rsidP="008118F2">
      <w:pPr>
        <w:jc w:val="both"/>
        <w:rPr>
          <w:rFonts w:cs="Segoe UI"/>
        </w:rPr>
      </w:pPr>
      <w:r w:rsidRPr="00B46BAD">
        <w:rPr>
          <w:noProof/>
        </w:rPr>
        <w:drawing>
          <wp:inline distT="0" distB="0" distL="0" distR="0" wp14:anchorId="33CC5D3A" wp14:editId="0C3F621B">
            <wp:extent cx="5943600" cy="3043800"/>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043800"/>
                    </a:xfrm>
                    <a:prstGeom prst="rect">
                      <a:avLst/>
                    </a:prstGeom>
                    <a:noFill/>
                    <a:ln>
                      <a:noFill/>
                    </a:ln>
                  </pic:spPr>
                </pic:pic>
              </a:graphicData>
            </a:graphic>
          </wp:inline>
        </w:drawing>
      </w:r>
    </w:p>
    <w:p w14:paraId="3753FFB6" w14:textId="19873C6A" w:rsidR="008118F2" w:rsidRDefault="008118F2" w:rsidP="008118F2">
      <w:pPr>
        <w:jc w:val="both"/>
      </w:pPr>
      <w:r>
        <w:t>Further analysis was performed to assess how affordability would impact the market size for smallholder farmers; this analysis followed the same approach as the analysis for private households in section 4.1, based on the following assumptions:</w:t>
      </w:r>
    </w:p>
    <w:p w14:paraId="2C85A8CF" w14:textId="16BF6830" w:rsidR="008118F2" w:rsidRDefault="008118F2" w:rsidP="008118F2">
      <w:pPr>
        <w:pStyle w:val="ListParagraph"/>
        <w:numPr>
          <w:ilvl w:val="0"/>
          <w:numId w:val="6"/>
        </w:numPr>
        <w:spacing w:before="120" w:after="120"/>
        <w:contextualSpacing w:val="0"/>
        <w:jc w:val="both"/>
        <w:rPr>
          <w:rFonts w:cs="Segoe UI"/>
        </w:rPr>
      </w:pPr>
      <w:r w:rsidRPr="00D32687">
        <w:rPr>
          <w:rFonts w:cs="Segoe UI"/>
        </w:rPr>
        <w:t>Three products are supplied to the</w:t>
      </w:r>
      <w:r>
        <w:rPr>
          <w:rFonts w:cs="Segoe UI"/>
        </w:rPr>
        <w:t xml:space="preserve"> smallholder</w:t>
      </w:r>
      <w:r w:rsidRPr="00D32687">
        <w:rPr>
          <w:rFonts w:cs="Segoe UI"/>
        </w:rPr>
        <w:t xml:space="preserve"> market: (i) </w:t>
      </w:r>
      <w:r>
        <w:rPr>
          <w:rFonts w:cs="Segoe UI"/>
        </w:rPr>
        <w:t>a s</w:t>
      </w:r>
      <w:r w:rsidRPr="00D32687">
        <w:rPr>
          <w:rFonts w:cs="Segoe UI"/>
        </w:rPr>
        <w:t xml:space="preserve">olar micropump kit at US $400; (ii) </w:t>
      </w:r>
      <w:r w:rsidR="009354BB">
        <w:rPr>
          <w:rFonts w:cs="Segoe UI"/>
        </w:rPr>
        <w:t xml:space="preserve">a solar pumping kit </w:t>
      </w:r>
      <w:r w:rsidRPr="00D32687">
        <w:rPr>
          <w:rFonts w:cs="Segoe UI"/>
        </w:rPr>
        <w:t>at US $</w:t>
      </w:r>
      <w:r>
        <w:rPr>
          <w:rFonts w:cs="Segoe UI"/>
        </w:rPr>
        <w:t>650; and</w:t>
      </w:r>
      <w:r w:rsidRPr="00D32687">
        <w:rPr>
          <w:rFonts w:cs="Segoe UI"/>
        </w:rPr>
        <w:t xml:space="preserve"> (iii)</w:t>
      </w:r>
      <w:r>
        <w:rPr>
          <w:rFonts w:cs="Segoe UI"/>
        </w:rPr>
        <w:t xml:space="preserve"> a</w:t>
      </w:r>
      <w:r w:rsidRPr="00D32687">
        <w:rPr>
          <w:rFonts w:cs="Segoe UI"/>
        </w:rPr>
        <w:t xml:space="preserve"> small component system with 0.2kW at US $820. All three products are offered with the option of payment over 24 months.</w:t>
      </w:r>
      <w:r>
        <w:rPr>
          <w:rStyle w:val="FootnoteReference"/>
          <w:rFonts w:cs="Segoe UI"/>
        </w:rPr>
        <w:footnoteReference w:id="116"/>
      </w:r>
    </w:p>
    <w:p w14:paraId="1EA9CFD0" w14:textId="77777777" w:rsidR="008118F2" w:rsidRPr="006E4859" w:rsidRDefault="008118F2" w:rsidP="008118F2">
      <w:pPr>
        <w:pStyle w:val="ListParagraph"/>
        <w:numPr>
          <w:ilvl w:val="0"/>
          <w:numId w:val="6"/>
        </w:numPr>
        <w:spacing w:before="120" w:after="120"/>
        <w:contextualSpacing w:val="0"/>
        <w:jc w:val="both"/>
        <w:rPr>
          <w:rFonts w:cs="Segoe UI"/>
        </w:rPr>
      </w:pPr>
      <w:r w:rsidRPr="006E4859">
        <w:rPr>
          <w:rFonts w:cs="Segoe UI"/>
        </w:rPr>
        <w:t xml:space="preserve">Households are able to spend up to three times their current monthly water-pumping related energy expenditure on one-off cash purchases or the upfront payment required for financing schemes. </w:t>
      </w:r>
    </w:p>
    <w:p w14:paraId="73962465" w14:textId="77777777" w:rsidR="008118F2" w:rsidRPr="00DD38A9" w:rsidRDefault="008118F2" w:rsidP="008118F2">
      <w:pPr>
        <w:pStyle w:val="ListParagraph"/>
        <w:numPr>
          <w:ilvl w:val="0"/>
          <w:numId w:val="6"/>
        </w:numPr>
        <w:spacing w:before="120" w:after="120"/>
        <w:contextualSpacing w:val="0"/>
        <w:jc w:val="both"/>
        <w:rPr>
          <w:rFonts w:cs="Segoe UI"/>
        </w:rPr>
      </w:pPr>
      <w:r w:rsidRPr="00DD38A9">
        <w:rPr>
          <w:rFonts w:cs="Segoe UI"/>
        </w:rPr>
        <w:t>Each</w:t>
      </w:r>
      <w:r>
        <w:rPr>
          <w:rFonts w:cs="Segoe UI"/>
        </w:rPr>
        <w:t xml:space="preserve"> farming</w:t>
      </w:r>
      <w:r w:rsidRPr="00DD38A9">
        <w:rPr>
          <w:rFonts w:cs="Segoe UI"/>
        </w:rPr>
        <w:t xml:space="preserve"> </w:t>
      </w:r>
      <w:r>
        <w:rPr>
          <w:rFonts w:cs="Segoe UI"/>
        </w:rPr>
        <w:t>household</w:t>
      </w:r>
      <w:r w:rsidRPr="00DD38A9">
        <w:rPr>
          <w:rFonts w:cs="Segoe UI"/>
        </w:rPr>
        <w:t xml:space="preserve"> pur</w:t>
      </w:r>
      <w:r>
        <w:rPr>
          <w:rFonts w:cs="Segoe UI"/>
        </w:rPr>
        <w:t xml:space="preserve">chases the most expensive solar pumping system it can </w:t>
      </w:r>
      <w:r w:rsidRPr="00DD38A9">
        <w:rPr>
          <w:rFonts w:cs="Segoe UI"/>
        </w:rPr>
        <w:t>af</w:t>
      </w:r>
      <w:r>
        <w:rPr>
          <w:rFonts w:cs="Segoe UI"/>
        </w:rPr>
        <w:t>ford from its monthly income, and each household only owns one unit at any given time.</w:t>
      </w:r>
    </w:p>
    <w:p w14:paraId="61FF1B9E" w14:textId="77777777" w:rsidR="008118F2" w:rsidRDefault="008118F2" w:rsidP="008118F2">
      <w:pPr>
        <w:pStyle w:val="ListParagraph"/>
        <w:numPr>
          <w:ilvl w:val="0"/>
          <w:numId w:val="6"/>
        </w:numPr>
        <w:spacing w:before="120" w:after="120"/>
        <w:contextualSpacing w:val="0"/>
        <w:jc w:val="both"/>
        <w:rPr>
          <w:rFonts w:cs="Segoe UI"/>
        </w:rPr>
      </w:pPr>
      <w:r>
        <w:rPr>
          <w:rFonts w:cs="Segoe UI"/>
        </w:rPr>
        <w:lastRenderedPageBreak/>
        <w:t>Farming households are willing to allocate 15% of monthly household</w:t>
      </w:r>
      <w:r w:rsidRPr="00DD38A9">
        <w:rPr>
          <w:rFonts w:cs="Segoe UI"/>
        </w:rPr>
        <w:t xml:space="preserve"> expenditure </w:t>
      </w:r>
      <w:r>
        <w:rPr>
          <w:rFonts w:cs="Segoe UI"/>
        </w:rPr>
        <w:t>to water pumping; this value is an approximation based on residual income after elementary expenditure.</w:t>
      </w:r>
      <w:r>
        <w:rPr>
          <w:rStyle w:val="FootnoteReference"/>
          <w:rFonts w:cs="Segoe UI"/>
        </w:rPr>
        <w:footnoteReference w:id="117"/>
      </w:r>
    </w:p>
    <w:p w14:paraId="307155B1" w14:textId="410EC2D7" w:rsidR="004768FA" w:rsidRDefault="004768FA" w:rsidP="004768FA"/>
    <w:p w14:paraId="6E55807A" w14:textId="77777777" w:rsidR="008118F2" w:rsidRDefault="008118F2" w:rsidP="004768FA"/>
    <w:p w14:paraId="68667292" w14:textId="7BD126C3" w:rsidR="005744B4" w:rsidRPr="00955049" w:rsidRDefault="00915507" w:rsidP="005744B4">
      <w:pPr>
        <w:pStyle w:val="H2NEWreportStyle"/>
        <w:numPr>
          <w:ilvl w:val="0"/>
          <w:numId w:val="0"/>
        </w:numPr>
        <w:ind w:left="936" w:hanging="792"/>
      </w:pPr>
      <w:bookmarkStart w:id="264" w:name="_Toc501097070"/>
      <w:r>
        <w:t>B.4</w:t>
      </w:r>
      <w:r w:rsidR="005744B4">
        <w:t xml:space="preserve"> Crop processing</w:t>
      </w:r>
      <w:bookmarkEnd w:id="264"/>
    </w:p>
    <w:p w14:paraId="13696607" w14:textId="77777777" w:rsidR="004A23A7" w:rsidRDefault="004A23A7" w:rsidP="004A23A7">
      <w:pPr>
        <w:jc w:val="both"/>
      </w:pPr>
      <w:r w:rsidRPr="00C253F1">
        <w:t>We evaluate the business case for solar power for milling and estimate the market size as follows:</w:t>
      </w:r>
    </w:p>
    <w:p w14:paraId="4D7BE805" w14:textId="77777777" w:rsidR="004A23A7" w:rsidRDefault="004A23A7" w:rsidP="001C46F8">
      <w:pPr>
        <w:pStyle w:val="ListParagraph"/>
        <w:numPr>
          <w:ilvl w:val="0"/>
          <w:numId w:val="44"/>
        </w:numPr>
        <w:jc w:val="both"/>
      </w:pPr>
      <w:r>
        <w:t>We take 2014 annual production volumes in tons for the major crops in Niger. We then assume that 85% of crops are processed</w:t>
      </w:r>
      <w:r>
        <w:rPr>
          <w:rStyle w:val="FootnoteReference"/>
        </w:rPr>
        <w:footnoteReference w:id="118"/>
      </w:r>
      <w:r>
        <w:t xml:space="preserve"> to estimate the tons of crop milled per year. To mitigate the limitations of lacking data on crop processing levels, we include the market size for different crop processing levels in the market sizing section. </w:t>
      </w:r>
    </w:p>
    <w:p w14:paraId="2580DA9D" w14:textId="6A2C2F42" w:rsidR="004A23A7" w:rsidRDefault="004A23A7" w:rsidP="001C46F8">
      <w:pPr>
        <w:pStyle w:val="ListParagraph"/>
        <w:numPr>
          <w:ilvl w:val="0"/>
          <w:numId w:val="44"/>
        </w:numPr>
        <w:jc w:val="both"/>
      </w:pPr>
      <w:r>
        <w:t>We use empirical data from secondary research on international average power requirements to mill a ton of each crop to estimate total power needs for crop processing in Niger; see</w:t>
      </w:r>
      <w:r w:rsidR="00F5256B">
        <w:t xml:space="preserve"> </w:t>
      </w:r>
      <w:r w:rsidR="00FA064D">
        <w:fldChar w:fldCharType="begin"/>
      </w:r>
      <w:r w:rsidR="00FA064D">
        <w:instrText xml:space="preserve"> REF _Ref494313300 \h </w:instrText>
      </w:r>
      <w:r w:rsidR="00FA064D">
        <w:fldChar w:fldCharType="separate"/>
      </w:r>
      <w:r w:rsidR="000D1C35">
        <w:t xml:space="preserve">Table </w:t>
      </w:r>
      <w:r w:rsidR="000D1C35">
        <w:rPr>
          <w:noProof/>
        </w:rPr>
        <w:t>56</w:t>
      </w:r>
      <w:r w:rsidR="00FA064D">
        <w:fldChar w:fldCharType="end"/>
      </w:r>
      <w:r>
        <w:t>.</w:t>
      </w:r>
    </w:p>
    <w:p w14:paraId="5B4F87DC" w14:textId="1DE8A25A" w:rsidR="004A23A7" w:rsidRDefault="004A23A7" w:rsidP="004A23A7">
      <w:pPr>
        <w:pStyle w:val="Caption"/>
        <w:ind w:left="720"/>
        <w:jc w:val="both"/>
      </w:pPr>
      <w:bookmarkStart w:id="265" w:name="_Ref494313300"/>
      <w:bookmarkStart w:id="266" w:name="_Toc500969420"/>
      <w:r>
        <w:t xml:space="preserve">Table </w:t>
      </w:r>
      <w:fldSimple w:instr=" SEQ Table \* ARABIC ">
        <w:r w:rsidR="000D1C35">
          <w:rPr>
            <w:noProof/>
          </w:rPr>
          <w:t>56</w:t>
        </w:r>
      </w:fldSimple>
      <w:bookmarkEnd w:id="265"/>
      <w:r>
        <w:t>: Overview of key crops, and estimation of energy consumption for milling</w:t>
      </w:r>
      <w:bookmarkEnd w:id="266"/>
    </w:p>
    <w:p w14:paraId="151BE010" w14:textId="77777777" w:rsidR="004A23A7" w:rsidRDefault="004A23A7" w:rsidP="004A23A7">
      <w:pPr>
        <w:pStyle w:val="ListParagraph"/>
        <w:jc w:val="both"/>
      </w:pPr>
      <w:r w:rsidRPr="00F94329">
        <w:rPr>
          <w:noProof/>
        </w:rPr>
        <w:drawing>
          <wp:inline distT="0" distB="0" distL="0" distR="0" wp14:anchorId="31CDAD37" wp14:editId="3A7AEAD3">
            <wp:extent cx="5175504" cy="1581912"/>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5504" cy="1581912"/>
                    </a:xfrm>
                    <a:prstGeom prst="rect">
                      <a:avLst/>
                    </a:prstGeom>
                    <a:noFill/>
                    <a:ln>
                      <a:noFill/>
                    </a:ln>
                  </pic:spPr>
                </pic:pic>
              </a:graphicData>
            </a:graphic>
          </wp:inline>
        </w:drawing>
      </w:r>
    </w:p>
    <w:p w14:paraId="696F70D2" w14:textId="77777777" w:rsidR="004A23A7" w:rsidRDefault="004A23A7" w:rsidP="004A23A7">
      <w:pPr>
        <w:pStyle w:val="ListParagraph"/>
        <w:jc w:val="both"/>
      </w:pPr>
    </w:p>
    <w:p w14:paraId="73480C2A" w14:textId="060080E5" w:rsidR="004A23A7" w:rsidRDefault="004A23A7" w:rsidP="001C46F8">
      <w:pPr>
        <w:pStyle w:val="ListParagraph"/>
        <w:numPr>
          <w:ilvl w:val="0"/>
          <w:numId w:val="44"/>
        </w:numPr>
        <w:jc w:val="both"/>
      </w:pPr>
      <w:r w:rsidRPr="00452A6F">
        <w:t>In absence of data on milling unit capacities in Niger, we determine three different mill sizes based on our experience working in the agricultural sector across many African countries and consultations performed in Niger. For each mill size we estimate the power needs of the milling machine, daily energy consumption, and solar system size requirements. This is shown in</w:t>
      </w:r>
      <w:r w:rsidR="00FA064D">
        <w:t xml:space="preserve"> </w:t>
      </w:r>
      <w:r w:rsidR="00FA064D">
        <w:fldChar w:fldCharType="begin"/>
      </w:r>
      <w:r w:rsidR="00FA064D">
        <w:instrText xml:space="preserve"> REF _Ref494313330 \h </w:instrText>
      </w:r>
      <w:r w:rsidR="00FA064D">
        <w:fldChar w:fldCharType="separate"/>
      </w:r>
      <w:r w:rsidR="000D1C35">
        <w:t xml:space="preserve">Table </w:t>
      </w:r>
      <w:r w:rsidR="000D1C35">
        <w:rPr>
          <w:noProof/>
        </w:rPr>
        <w:t>57</w:t>
      </w:r>
      <w:r w:rsidR="00FA064D">
        <w:fldChar w:fldCharType="end"/>
      </w:r>
      <w:r w:rsidRPr="00452A6F">
        <w:t>, together with the daily milling volumes that would be processed in mills of these sizes.</w:t>
      </w:r>
      <w:r w:rsidRPr="00452A6F">
        <w:rPr>
          <w:vertAlign w:val="superscript"/>
        </w:rPr>
        <w:footnoteReference w:id="119"/>
      </w:r>
    </w:p>
    <w:p w14:paraId="2E07AC55" w14:textId="04F9AB3A" w:rsidR="004A23A7" w:rsidRDefault="004A23A7" w:rsidP="004A23A7">
      <w:pPr>
        <w:pStyle w:val="Caption"/>
        <w:ind w:left="720"/>
        <w:jc w:val="both"/>
      </w:pPr>
      <w:bookmarkStart w:id="267" w:name="_Ref494313330"/>
      <w:bookmarkStart w:id="268" w:name="_Toc500969421"/>
      <w:r>
        <w:lastRenderedPageBreak/>
        <w:t xml:space="preserve">Table </w:t>
      </w:r>
      <w:fldSimple w:instr=" SEQ Table \* ARABIC ">
        <w:r w:rsidR="000D1C35">
          <w:rPr>
            <w:noProof/>
          </w:rPr>
          <w:t>57</w:t>
        </w:r>
      </w:fldSimple>
      <w:bookmarkEnd w:id="267"/>
      <w:r>
        <w:t>: Overview of different mill sizes and milling capacities (theoretical construct)</w:t>
      </w:r>
      <w:bookmarkEnd w:id="268"/>
    </w:p>
    <w:p w14:paraId="776B0321" w14:textId="77777777" w:rsidR="004A23A7" w:rsidRDefault="004A23A7" w:rsidP="001C46F8">
      <w:pPr>
        <w:pStyle w:val="ListParagraph"/>
        <w:numPr>
          <w:ilvl w:val="0"/>
          <w:numId w:val="44"/>
        </w:numPr>
        <w:jc w:val="both"/>
      </w:pPr>
      <w:r w:rsidRPr="00A47137">
        <w:rPr>
          <w:noProof/>
        </w:rPr>
        <w:drawing>
          <wp:anchor distT="0" distB="182880" distL="114300" distR="114300" simplePos="0" relativeHeight="251754496" behindDoc="0" locked="0" layoutInCell="1" allowOverlap="1" wp14:anchorId="188F844F" wp14:editId="54D39481">
            <wp:simplePos x="0" y="0"/>
            <wp:positionH relativeFrom="column">
              <wp:posOffset>461176</wp:posOffset>
            </wp:positionH>
            <wp:positionV relativeFrom="paragraph">
              <wp:posOffset>-2319</wp:posOffset>
            </wp:positionV>
            <wp:extent cx="3831336" cy="1453896"/>
            <wp:effectExtent l="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31336"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137">
        <w:rPr>
          <w:noProof/>
        </w:rPr>
        <w:drawing>
          <wp:anchor distT="0" distB="182880" distL="114300" distR="114300" simplePos="0" relativeHeight="251755520" behindDoc="0" locked="0" layoutInCell="1" allowOverlap="1" wp14:anchorId="53F4EF7B" wp14:editId="76941A9F">
            <wp:simplePos x="0" y="0"/>
            <wp:positionH relativeFrom="column">
              <wp:posOffset>461176</wp:posOffset>
            </wp:positionH>
            <wp:positionV relativeFrom="paragraph">
              <wp:posOffset>-2319</wp:posOffset>
            </wp:positionV>
            <wp:extent cx="3831336" cy="1453896"/>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31336"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A6F">
        <w:t>We then calculate the lifetime and annualized costs of running these mills with solar-, grid- and generator-power to develop the business case for using solar energy for milling. Lifetime costs are based on the typical productive life of solar panels of 20 years; replacement parts, and ongoing running costs (e.g. diesel for generators) for this period of time are included for all options to provide a comparable annualized cost.</w:t>
      </w:r>
    </w:p>
    <w:p w14:paraId="5F64096A" w14:textId="77777777" w:rsidR="004A23A7" w:rsidRDefault="004A23A7" w:rsidP="001C46F8">
      <w:pPr>
        <w:pStyle w:val="ListParagraph"/>
        <w:numPr>
          <w:ilvl w:val="0"/>
          <w:numId w:val="44"/>
        </w:numPr>
        <w:jc w:val="both"/>
      </w:pPr>
      <w:r>
        <w:t>Next, we determine that market size for solar technology for the crop processing sector. In absence of market breakdown data, we present two scenarios:</w:t>
      </w:r>
    </w:p>
    <w:p w14:paraId="1BCA0E3D" w14:textId="77777777" w:rsidR="004A23A7" w:rsidRDefault="004A23A7" w:rsidP="001C46F8">
      <w:pPr>
        <w:pStyle w:val="ListParagraph"/>
        <w:numPr>
          <w:ilvl w:val="1"/>
          <w:numId w:val="44"/>
        </w:numPr>
        <w:jc w:val="both"/>
      </w:pPr>
      <w:r w:rsidRPr="000B3377">
        <w:rPr>
          <w:b/>
        </w:rPr>
        <w:t>Scenario I</w:t>
      </w:r>
      <w:r w:rsidRPr="000B3377">
        <w:t xml:space="preserve"> assumes</w:t>
      </w:r>
      <w:r>
        <w:t xml:space="preserve"> that 100% of milling for the main crops is performed by small village-level mills.</w:t>
      </w:r>
    </w:p>
    <w:p w14:paraId="3190EEC3" w14:textId="77777777" w:rsidR="004A23A7" w:rsidRDefault="004A23A7" w:rsidP="001C46F8">
      <w:pPr>
        <w:pStyle w:val="ListParagraph"/>
        <w:numPr>
          <w:ilvl w:val="1"/>
          <w:numId w:val="44"/>
        </w:numPr>
        <w:jc w:val="both"/>
      </w:pPr>
      <w:r w:rsidRPr="000B3377">
        <w:rPr>
          <w:b/>
        </w:rPr>
        <w:t>Scenario II</w:t>
      </w:r>
      <w:r>
        <w:t xml:space="preserve"> assumes a breakdown characteristic of many African countries; 60% of total crop milling volume is processed in small village-level mills, 35% by medium-sized mills, and 5% by large mills.</w:t>
      </w:r>
      <w:r>
        <w:rPr>
          <w:rStyle w:val="FootnoteReference"/>
        </w:rPr>
        <w:footnoteReference w:id="120"/>
      </w:r>
      <w:r>
        <w:t xml:space="preserve"> </w:t>
      </w:r>
    </w:p>
    <w:p w14:paraId="202475F3" w14:textId="77777777" w:rsidR="004A23A7" w:rsidRDefault="004A23A7" w:rsidP="004A23A7">
      <w:pPr>
        <w:pStyle w:val="Normal15"/>
        <w:jc w:val="both"/>
        <w:rPr>
          <w:rFonts w:ascii="Segoe UI" w:hAnsi="Segoe UI"/>
        </w:rPr>
      </w:pPr>
      <w:r w:rsidRPr="00452A6F">
        <w:rPr>
          <w:rFonts w:ascii="Segoe UI" w:hAnsi="Segoe UI"/>
        </w:rPr>
        <w:t>In the absence of regional crop processing data we cannot allocate the market size to communes. Countries with less developed infrastructure are often characterized by small processing mills operated at community level, as challenges in transportation make it hard for large centralized mills to transport produce to where it will be consumed. Hence, we expect that the geographical distribution of demand for milling power is likely to closely mirror the demand for agricultural irrigation.</w:t>
      </w:r>
      <w:r>
        <w:rPr>
          <w:rFonts w:ascii="Segoe UI" w:hAnsi="Segoe UI"/>
        </w:rPr>
        <w:t xml:space="preserve"> </w:t>
      </w:r>
    </w:p>
    <w:p w14:paraId="57446F6C" w14:textId="0B66DEEE" w:rsidR="00E60E3D" w:rsidRDefault="004A6EE1" w:rsidP="00E60E3D">
      <w:pPr>
        <w:jc w:val="both"/>
      </w:pPr>
      <w:r>
        <w:t>Further, t</w:t>
      </w:r>
      <w:r w:rsidR="00E60E3D">
        <w:t>o estimate the market size, we assume that 85% of key crop production volumes reported by the Ministry of Agriculture and FAO</w:t>
      </w:r>
      <w:r w:rsidR="00E60E3D">
        <w:rPr>
          <w:rStyle w:val="FootnoteReference"/>
        </w:rPr>
        <w:footnoteReference w:id="121"/>
      </w:r>
      <w:r w:rsidR="00E60E3D">
        <w:t xml:space="preserve"> will be processed. We present the market size for two scenarios, as described above in the methodology section.</w:t>
      </w:r>
      <w:r w:rsidR="00E60E3D">
        <w:rPr>
          <w:rStyle w:val="FootnoteReference"/>
        </w:rPr>
        <w:footnoteReference w:id="122"/>
      </w:r>
      <w:r w:rsidR="00E60E3D">
        <w:t xml:space="preserve"> </w:t>
      </w:r>
      <w:r w:rsidR="00576119">
        <w:t>We further present the impact of changing the crop processing levels on the market size.</w:t>
      </w:r>
      <w:r w:rsidR="00E60E3D">
        <w:t xml:space="preserve"> </w:t>
      </w:r>
    </w:p>
    <w:p w14:paraId="3FED8E4E" w14:textId="0251CB2C" w:rsidR="00207515" w:rsidRPr="00955049" w:rsidRDefault="00207515" w:rsidP="00207515">
      <w:pPr>
        <w:pStyle w:val="H2NEWreportStyle"/>
        <w:numPr>
          <w:ilvl w:val="0"/>
          <w:numId w:val="0"/>
        </w:numPr>
        <w:ind w:left="936" w:hanging="792"/>
      </w:pPr>
      <w:bookmarkStart w:id="269" w:name="_Toc501097071"/>
      <w:r>
        <w:t>B.</w:t>
      </w:r>
      <w:r w:rsidR="00083197">
        <w:t>5</w:t>
      </w:r>
      <w:r>
        <w:t xml:space="preserve"> Water provision</w:t>
      </w:r>
      <w:bookmarkEnd w:id="269"/>
    </w:p>
    <w:p w14:paraId="177C76B7" w14:textId="77777777" w:rsidR="00545F7A" w:rsidRPr="008677A5" w:rsidRDefault="00545F7A" w:rsidP="00545F7A">
      <w:pPr>
        <w:jc w:val="both"/>
        <w:rPr>
          <w:rFonts w:cs="Segoe UI"/>
        </w:rPr>
      </w:pPr>
      <w:r w:rsidRPr="008677A5">
        <w:rPr>
          <w:rFonts w:cs="Segoe UI"/>
        </w:rPr>
        <w:t xml:space="preserve">For </w:t>
      </w:r>
      <w:r>
        <w:rPr>
          <w:rFonts w:cs="Segoe UI"/>
        </w:rPr>
        <w:t xml:space="preserve">each type of water station, </w:t>
      </w:r>
      <w:r w:rsidRPr="008677A5">
        <w:rPr>
          <w:rFonts w:cs="Segoe UI"/>
        </w:rPr>
        <w:t xml:space="preserve">we modelled the energy required </w:t>
      </w:r>
      <w:r>
        <w:rPr>
          <w:rFonts w:cs="Segoe UI"/>
        </w:rPr>
        <w:t xml:space="preserve">to </w:t>
      </w:r>
      <w:r w:rsidRPr="008677A5">
        <w:rPr>
          <w:rFonts w:cs="Segoe UI"/>
        </w:rPr>
        <w:t xml:space="preserve">pump </w:t>
      </w:r>
      <w:r>
        <w:rPr>
          <w:rFonts w:cs="Segoe UI"/>
        </w:rPr>
        <w:t xml:space="preserve">underground </w:t>
      </w:r>
      <w:r w:rsidRPr="008677A5">
        <w:rPr>
          <w:rFonts w:cs="Segoe UI"/>
        </w:rPr>
        <w:t>water to the surface factoring</w:t>
      </w:r>
      <w:r>
        <w:rPr>
          <w:rFonts w:cs="Segoe UI"/>
        </w:rPr>
        <w:t xml:space="preserve"> in regional differences in borehole</w:t>
      </w:r>
      <w:r w:rsidRPr="008677A5">
        <w:rPr>
          <w:rFonts w:cs="Segoe UI"/>
        </w:rPr>
        <w:t xml:space="preserve"> depth</w:t>
      </w:r>
      <w:r>
        <w:rPr>
          <w:rFonts w:cs="Segoe UI"/>
        </w:rPr>
        <w:t xml:space="preserve"> (i.e. groundwater levels are much deeper in </w:t>
      </w:r>
      <w:r>
        <w:rPr>
          <w:rFonts w:cs="Segoe UI"/>
        </w:rPr>
        <w:lastRenderedPageBreak/>
        <w:t xml:space="preserve">the drier </w:t>
      </w:r>
      <w:r w:rsidRPr="008677A5">
        <w:rPr>
          <w:rFonts w:cs="Segoe UI"/>
        </w:rPr>
        <w:t xml:space="preserve">Northern </w:t>
      </w:r>
      <w:r>
        <w:rPr>
          <w:rFonts w:cs="Segoe UI"/>
        </w:rPr>
        <w:t>Niger than in the south),</w:t>
      </w:r>
      <w:r w:rsidRPr="008677A5">
        <w:rPr>
          <w:rFonts w:cs="Segoe UI"/>
        </w:rPr>
        <w:t xml:space="preserve"> and the energy required</w:t>
      </w:r>
      <w:r>
        <w:rPr>
          <w:rFonts w:cs="Segoe UI"/>
        </w:rPr>
        <w:t xml:space="preserve"> to pump the water to the relevant place of extraction. More precisely, the following approach was taken:</w:t>
      </w:r>
    </w:p>
    <w:p w14:paraId="1CE2FD36" w14:textId="31D16E9E" w:rsidR="00545F7A" w:rsidRDefault="00545F7A" w:rsidP="00545F7A">
      <w:pPr>
        <w:pStyle w:val="ListParagraph"/>
        <w:numPr>
          <w:ilvl w:val="0"/>
          <w:numId w:val="11"/>
        </w:numPr>
        <w:spacing w:before="120" w:after="120"/>
        <w:contextualSpacing w:val="0"/>
        <w:jc w:val="both"/>
        <w:rPr>
          <w:rFonts w:cs="Segoe UI"/>
        </w:rPr>
      </w:pPr>
      <w:r>
        <w:rPr>
          <w:rFonts w:cs="Segoe UI"/>
        </w:rPr>
        <w:t>The number of water points at regional level (see</w:t>
      </w:r>
      <w:r w:rsidR="00FA064D">
        <w:rPr>
          <w:rFonts w:cs="Segoe UI"/>
        </w:rPr>
        <w:t xml:space="preserve"> </w:t>
      </w:r>
      <w:r w:rsidR="00FA064D">
        <w:rPr>
          <w:rFonts w:cs="Segoe UI"/>
        </w:rPr>
        <w:fldChar w:fldCharType="begin"/>
      </w:r>
      <w:r w:rsidR="00FA064D">
        <w:rPr>
          <w:rFonts w:cs="Segoe UI"/>
        </w:rPr>
        <w:instrText xml:space="preserve"> REF _Ref494313355 \h </w:instrText>
      </w:r>
      <w:r w:rsidR="00FA064D">
        <w:rPr>
          <w:rFonts w:cs="Segoe UI"/>
        </w:rPr>
      </w:r>
      <w:r w:rsidR="00FA064D">
        <w:rPr>
          <w:rFonts w:cs="Segoe UI"/>
        </w:rPr>
        <w:fldChar w:fldCharType="separate"/>
      </w:r>
      <w:r w:rsidR="000D1C35">
        <w:t xml:space="preserve">Table </w:t>
      </w:r>
      <w:r w:rsidR="000D1C35">
        <w:rPr>
          <w:noProof/>
        </w:rPr>
        <w:t>58</w:t>
      </w:r>
      <w:r w:rsidR="00FA064D">
        <w:rPr>
          <w:rFonts w:cs="Segoe UI"/>
        </w:rPr>
        <w:fldChar w:fldCharType="end"/>
      </w:r>
      <w:r>
        <w:rPr>
          <w:rFonts w:cs="Segoe UI"/>
        </w:rPr>
        <w:t>) are distributed to commune level based on the commune’s strata (e.g. urban, agricole, pastorale), Department-level livestock distribution, and Loca</w:t>
      </w:r>
      <w:r w:rsidR="007242E3">
        <w:rPr>
          <w:rFonts w:cs="Segoe UI"/>
        </w:rPr>
        <w:t>lity</w:t>
      </w:r>
      <w:r>
        <w:rPr>
          <w:rFonts w:cs="Segoe UI"/>
        </w:rPr>
        <w:t xml:space="preserve">-level population distribution.  </w:t>
      </w:r>
    </w:p>
    <w:p w14:paraId="4B18B2F8" w14:textId="30C71C66" w:rsidR="00545F7A" w:rsidRDefault="00545F7A" w:rsidP="00545F7A">
      <w:pPr>
        <w:pStyle w:val="Caption"/>
        <w:ind w:left="720"/>
      </w:pPr>
      <w:bookmarkStart w:id="270" w:name="_Ref494313355"/>
      <w:bookmarkStart w:id="271" w:name="_Toc500969422"/>
      <w:r>
        <w:t xml:space="preserve">Table </w:t>
      </w:r>
      <w:fldSimple w:instr=" SEQ Table \* ARABIC ">
        <w:r w:rsidR="000D1C35">
          <w:rPr>
            <w:noProof/>
          </w:rPr>
          <w:t>58</w:t>
        </w:r>
      </w:fldSimple>
      <w:bookmarkEnd w:id="270"/>
      <w:r>
        <w:t>: Number of different water stations by region</w:t>
      </w:r>
      <w:r>
        <w:rPr>
          <w:rStyle w:val="FootnoteReference"/>
        </w:rPr>
        <w:footnoteReference w:id="123"/>
      </w:r>
      <w:bookmarkEnd w:id="271"/>
    </w:p>
    <w:p w14:paraId="0D96B055" w14:textId="77777777" w:rsidR="00545F7A" w:rsidRDefault="00545F7A" w:rsidP="00545F7A">
      <w:pPr>
        <w:pStyle w:val="ListParagraph"/>
        <w:spacing w:before="120" w:after="120"/>
        <w:contextualSpacing w:val="0"/>
        <w:jc w:val="both"/>
        <w:rPr>
          <w:rFonts w:cs="Segoe UI"/>
        </w:rPr>
      </w:pPr>
      <w:r w:rsidRPr="005A3F01">
        <w:rPr>
          <w:noProof/>
        </w:rPr>
        <w:drawing>
          <wp:inline distT="0" distB="0" distL="0" distR="0" wp14:anchorId="2D1436BC" wp14:editId="7B849958">
            <wp:extent cx="5513832" cy="13807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3832" cy="1380744"/>
                    </a:xfrm>
                    <a:prstGeom prst="rect">
                      <a:avLst/>
                    </a:prstGeom>
                    <a:noFill/>
                    <a:ln>
                      <a:noFill/>
                    </a:ln>
                  </pic:spPr>
                </pic:pic>
              </a:graphicData>
            </a:graphic>
          </wp:inline>
        </w:drawing>
      </w:r>
    </w:p>
    <w:p w14:paraId="68F7775B" w14:textId="77777777" w:rsidR="00545F7A" w:rsidRDefault="00545F7A" w:rsidP="00545F7A">
      <w:pPr>
        <w:pStyle w:val="ListParagraph"/>
        <w:numPr>
          <w:ilvl w:val="0"/>
          <w:numId w:val="11"/>
        </w:numPr>
        <w:spacing w:before="120" w:after="120"/>
        <w:contextualSpacing w:val="0"/>
        <w:jc w:val="both"/>
        <w:rPr>
          <w:rFonts w:cs="Segoe UI"/>
        </w:rPr>
      </w:pPr>
      <w:r>
        <w:rPr>
          <w:rFonts w:cs="Segoe UI"/>
        </w:rPr>
        <w:t>Next, w</w:t>
      </w:r>
      <w:r w:rsidRPr="009956BA">
        <w:rPr>
          <w:rFonts w:cs="Segoe UI"/>
        </w:rPr>
        <w:t xml:space="preserve">e </w:t>
      </w:r>
      <w:r>
        <w:rPr>
          <w:rFonts w:cs="Segoe UI"/>
        </w:rPr>
        <w:t xml:space="preserve">estimate water needs for each type of water station </w:t>
      </w:r>
      <w:r w:rsidRPr="009956BA">
        <w:rPr>
          <w:rFonts w:cs="Segoe UI"/>
        </w:rPr>
        <w:t>based on the expected number and type of users, extrapolating where water usage statistics were not available with the goal of matching the water drawn from the various water providers to the overall water abstraction rate for Niger as measured by the World Bank</w:t>
      </w:r>
      <w:r>
        <w:rPr>
          <w:rFonts w:cs="Segoe UI"/>
        </w:rPr>
        <w:t>.</w:t>
      </w:r>
      <w:r>
        <w:rPr>
          <w:rStyle w:val="FootnoteReference"/>
          <w:rFonts w:cs="Segoe UI"/>
        </w:rPr>
        <w:footnoteReference w:id="124"/>
      </w:r>
      <w:r w:rsidRPr="009956BA">
        <w:rPr>
          <w:rFonts w:cs="Segoe UI"/>
        </w:rPr>
        <w:t xml:space="preserve"> This exercise relied partly on information from the Niger Ministry of Hydraulics and Sanitation</w:t>
      </w:r>
      <w:r w:rsidRPr="008677A5">
        <w:rPr>
          <w:rStyle w:val="FootnoteReference"/>
          <w:rFonts w:cs="Segoe UI"/>
        </w:rPr>
        <w:footnoteReference w:id="125"/>
      </w:r>
      <w:r w:rsidRPr="009956BA">
        <w:rPr>
          <w:rFonts w:cs="Segoe UI"/>
        </w:rPr>
        <w:t xml:space="preserve"> on the number of rural water access points for the different regions as well as INS  regional and </w:t>
      </w:r>
      <w:r>
        <w:rPr>
          <w:rFonts w:cs="Segoe UI"/>
        </w:rPr>
        <w:t>d</w:t>
      </w:r>
      <w:r w:rsidRPr="009956BA">
        <w:rPr>
          <w:rFonts w:cs="Segoe UI"/>
        </w:rPr>
        <w:t>epartment level statistics</w:t>
      </w:r>
      <w:r w:rsidRPr="008677A5">
        <w:rPr>
          <w:rStyle w:val="FootnoteReference"/>
          <w:rFonts w:cs="Segoe UI"/>
        </w:rPr>
        <w:footnoteReference w:id="126"/>
      </w:r>
      <w:r w:rsidRPr="009956BA">
        <w:rPr>
          <w:rFonts w:cs="Segoe UI"/>
        </w:rPr>
        <w:t xml:space="preserve"> on water provision to the various users: Households, industries, public institutions and communal water points in urban areas.</w:t>
      </w:r>
    </w:p>
    <w:p w14:paraId="78AACD06" w14:textId="15E611AA" w:rsidR="00545F7A" w:rsidRDefault="00545F7A" w:rsidP="00545F7A">
      <w:pPr>
        <w:pStyle w:val="Caption"/>
        <w:ind w:left="720"/>
      </w:pPr>
      <w:bookmarkStart w:id="272" w:name="_Toc500969423"/>
      <w:r>
        <w:t xml:space="preserve">Table </w:t>
      </w:r>
      <w:fldSimple w:instr=" SEQ Table \* ARABIC ">
        <w:r w:rsidR="000D1C35">
          <w:rPr>
            <w:noProof/>
          </w:rPr>
          <w:t>59</w:t>
        </w:r>
      </w:fldSimple>
      <w:r>
        <w:t>: Water volume assessment by water point</w:t>
      </w:r>
      <w:bookmarkEnd w:id="272"/>
    </w:p>
    <w:p w14:paraId="4B885FC2" w14:textId="77777777" w:rsidR="00545F7A" w:rsidRDefault="00545F7A" w:rsidP="00545F7A">
      <w:pPr>
        <w:pStyle w:val="ListParagraph"/>
        <w:spacing w:before="120" w:after="120"/>
        <w:contextualSpacing w:val="0"/>
        <w:jc w:val="both"/>
        <w:rPr>
          <w:rFonts w:cs="Segoe UI"/>
        </w:rPr>
      </w:pPr>
      <w:r w:rsidRPr="00241114">
        <w:rPr>
          <w:noProof/>
        </w:rPr>
        <w:drawing>
          <wp:inline distT="0" distB="0" distL="0" distR="0" wp14:anchorId="28FBB703" wp14:editId="5BA8B33F">
            <wp:extent cx="5065776" cy="438912"/>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65776" cy="438912"/>
                    </a:xfrm>
                    <a:prstGeom prst="rect">
                      <a:avLst/>
                    </a:prstGeom>
                    <a:noFill/>
                    <a:ln>
                      <a:noFill/>
                    </a:ln>
                  </pic:spPr>
                </pic:pic>
              </a:graphicData>
            </a:graphic>
          </wp:inline>
        </w:drawing>
      </w:r>
    </w:p>
    <w:p w14:paraId="49CE63A0" w14:textId="77777777" w:rsidR="00545F7A" w:rsidRDefault="00545F7A" w:rsidP="00545F7A">
      <w:pPr>
        <w:pStyle w:val="ListParagraph"/>
        <w:numPr>
          <w:ilvl w:val="0"/>
          <w:numId w:val="11"/>
        </w:numPr>
        <w:spacing w:before="120" w:after="120"/>
        <w:contextualSpacing w:val="0"/>
        <w:jc w:val="both"/>
        <w:rPr>
          <w:rFonts w:cs="Segoe UI"/>
        </w:rPr>
      </w:pPr>
      <w:r w:rsidRPr="004E3F2A">
        <w:rPr>
          <w:rFonts w:cs="Segoe UI"/>
        </w:rPr>
        <w:t xml:space="preserve">We then modelled the energy requirements to </w:t>
      </w:r>
      <w:r>
        <w:rPr>
          <w:rFonts w:cs="Segoe UI"/>
        </w:rPr>
        <w:t xml:space="preserve">lift and </w:t>
      </w:r>
      <w:r w:rsidRPr="004E3F2A">
        <w:rPr>
          <w:rFonts w:cs="Segoe UI"/>
        </w:rPr>
        <w:t>distribute the water based on distance to the consumers - for the communal water points, the distance from the well head (or borehole) to the water station where consumers can access the water, typically close to the well, and for the larger water suppliers</w:t>
      </w:r>
      <w:r>
        <w:rPr>
          <w:rFonts w:cs="Segoe UI"/>
        </w:rPr>
        <w:t xml:space="preserve"> (Mini-AEPs and AEPs)</w:t>
      </w:r>
      <w:r w:rsidRPr="004E3F2A">
        <w:rPr>
          <w:rFonts w:cs="Segoe UI"/>
        </w:rPr>
        <w:t xml:space="preserve">, we modelled the distance water would </w:t>
      </w:r>
      <w:r>
        <w:rPr>
          <w:rFonts w:cs="Segoe UI"/>
        </w:rPr>
        <w:t xml:space="preserve">need to be </w:t>
      </w:r>
      <w:r w:rsidRPr="004E3F2A">
        <w:rPr>
          <w:rFonts w:cs="Segoe UI"/>
        </w:rPr>
        <w:t xml:space="preserve">piped to cover a target area based on </w:t>
      </w:r>
      <w:r>
        <w:rPr>
          <w:rFonts w:cs="Segoe UI"/>
        </w:rPr>
        <w:t xml:space="preserve">Region-level </w:t>
      </w:r>
      <w:r w:rsidRPr="004E3F2A">
        <w:rPr>
          <w:rFonts w:cs="Segoe UI"/>
        </w:rPr>
        <w:t>population density</w:t>
      </w:r>
      <w:r>
        <w:rPr>
          <w:rFonts w:cs="Segoe UI"/>
        </w:rPr>
        <w:t xml:space="preserve">, </w:t>
      </w:r>
      <w:r w:rsidRPr="004E3F2A">
        <w:rPr>
          <w:rFonts w:cs="Segoe UI"/>
        </w:rPr>
        <w:t xml:space="preserve">factoring in </w:t>
      </w:r>
      <w:r>
        <w:rPr>
          <w:rFonts w:cs="Segoe UI"/>
        </w:rPr>
        <w:t>d</w:t>
      </w:r>
      <w:r w:rsidRPr="004E3F2A">
        <w:rPr>
          <w:rFonts w:cs="Segoe UI"/>
        </w:rPr>
        <w:t>ifferences in densities between urban and rural populations (based on our analysis sampling representative urban and rural areas).</w:t>
      </w:r>
      <w:r>
        <w:rPr>
          <w:rStyle w:val="FootnoteReference"/>
          <w:rFonts w:cs="Segoe UI"/>
        </w:rPr>
        <w:footnoteReference w:id="127"/>
      </w:r>
    </w:p>
    <w:p w14:paraId="0DD0DC47" w14:textId="001E5040" w:rsidR="00545F7A" w:rsidRDefault="00545F7A" w:rsidP="00545F7A">
      <w:pPr>
        <w:pStyle w:val="Caption"/>
        <w:ind w:left="720"/>
      </w:pPr>
      <w:bookmarkStart w:id="273" w:name="_Toc500969424"/>
      <w:r>
        <w:lastRenderedPageBreak/>
        <w:t xml:space="preserve">Table </w:t>
      </w:r>
      <w:fldSimple w:instr=" SEQ Table \* ARABIC ">
        <w:r w:rsidR="000D1C35">
          <w:rPr>
            <w:noProof/>
          </w:rPr>
          <w:t>60</w:t>
        </w:r>
      </w:fldSimple>
      <w:r>
        <w:t>: Average borehole depth &amp; surface pumping distance by region and water station</w:t>
      </w:r>
      <w:bookmarkEnd w:id="273"/>
    </w:p>
    <w:p w14:paraId="209F3988" w14:textId="77777777" w:rsidR="00545F7A" w:rsidRDefault="00545F7A" w:rsidP="00545F7A">
      <w:pPr>
        <w:pStyle w:val="ListParagraph"/>
        <w:spacing w:before="120" w:after="120"/>
        <w:contextualSpacing w:val="0"/>
        <w:jc w:val="both"/>
        <w:rPr>
          <w:rFonts w:cs="Segoe UI"/>
        </w:rPr>
      </w:pPr>
      <w:r w:rsidRPr="00D73CC9">
        <w:rPr>
          <w:noProof/>
        </w:rPr>
        <w:drawing>
          <wp:inline distT="0" distB="0" distL="0" distR="0" wp14:anchorId="71F16AD3" wp14:editId="559C12EB">
            <wp:extent cx="4992624" cy="1517904"/>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2624" cy="1517904"/>
                    </a:xfrm>
                    <a:prstGeom prst="rect">
                      <a:avLst/>
                    </a:prstGeom>
                    <a:noFill/>
                    <a:ln>
                      <a:noFill/>
                    </a:ln>
                  </pic:spPr>
                </pic:pic>
              </a:graphicData>
            </a:graphic>
          </wp:inline>
        </w:drawing>
      </w:r>
    </w:p>
    <w:p w14:paraId="176ED08E" w14:textId="77777777" w:rsidR="00545F7A" w:rsidRPr="009956BA" w:rsidRDefault="00545F7A" w:rsidP="00545F7A">
      <w:pPr>
        <w:pStyle w:val="ListParagraph"/>
        <w:spacing w:before="120" w:after="120"/>
        <w:contextualSpacing w:val="0"/>
        <w:jc w:val="both"/>
        <w:rPr>
          <w:rFonts w:cs="Segoe UI"/>
        </w:rPr>
      </w:pPr>
      <w:r>
        <w:rPr>
          <w:rFonts w:cs="Segoe UI"/>
        </w:rPr>
        <w:t>In absence of a comprehensive dataset on borehole depth, and given the diverse variation in borehole depth even within Regions, we have assessed the business case and market size using an estimated Regional average borehole depth. Further, no information was available on AEPs potentially extracting river water rather than sourcing the water from boreholes, so this has been excluded from our analysis.</w:t>
      </w:r>
      <w:r>
        <w:rPr>
          <w:rStyle w:val="FootnoteReference"/>
          <w:rFonts w:cs="Segoe UI"/>
        </w:rPr>
        <w:footnoteReference w:id="128"/>
      </w:r>
      <w:r>
        <w:rPr>
          <w:rFonts w:cs="Segoe UI"/>
        </w:rPr>
        <w:t xml:space="preserve">  </w:t>
      </w:r>
    </w:p>
    <w:p w14:paraId="11438944" w14:textId="77777777" w:rsidR="00545F7A" w:rsidRDefault="00545F7A" w:rsidP="00545F7A">
      <w:pPr>
        <w:pStyle w:val="ListParagraph"/>
        <w:numPr>
          <w:ilvl w:val="0"/>
          <w:numId w:val="11"/>
        </w:numPr>
        <w:spacing w:before="240" w:after="240"/>
        <w:contextualSpacing w:val="0"/>
        <w:jc w:val="both"/>
        <w:rPr>
          <w:rFonts w:cs="Segoe UI"/>
        </w:rPr>
      </w:pPr>
      <w:r>
        <w:rPr>
          <w:rFonts w:cs="Segoe UI"/>
        </w:rPr>
        <w:t>Finally, we i</w:t>
      </w:r>
      <w:r w:rsidRPr="00557B2B">
        <w:rPr>
          <w:rFonts w:cs="Segoe UI"/>
        </w:rPr>
        <w:t>dentify solar solution requ</w:t>
      </w:r>
      <w:r>
        <w:rPr>
          <w:rFonts w:cs="Segoe UI"/>
        </w:rPr>
        <w:t>irements to meet the power needs calculated above</w:t>
      </w:r>
      <w:r w:rsidRPr="00557B2B">
        <w:rPr>
          <w:rFonts w:cs="Segoe UI"/>
        </w:rPr>
        <w:t xml:space="preserve">, and establish the business case of solar solutions by contrasting CAPEX and OPEX requirements for solar technology against alternative sources of energy such as grid and generators. </w:t>
      </w:r>
      <w:r>
        <w:rPr>
          <w:rFonts w:cs="Segoe UI"/>
        </w:rPr>
        <w:t>We then modelled the market size at</w:t>
      </w:r>
      <w:r w:rsidRPr="00557B2B">
        <w:rPr>
          <w:rFonts w:cs="Segoe UI"/>
        </w:rPr>
        <w:t xml:space="preserve"> commune level factoring in the number and type of water stations required for each commune based on the population of the commune, as well as the location of the commune (whether urban or rural) and the main economic activity of the commune</w:t>
      </w:r>
      <w:r>
        <w:rPr>
          <w:rFonts w:cs="Segoe UI"/>
        </w:rPr>
        <w:t xml:space="preserve"> (e.g. industry, livestock, etc.).</w:t>
      </w:r>
      <w:r>
        <w:rPr>
          <w:rStyle w:val="FootnoteReference"/>
          <w:rFonts w:cs="Segoe UI"/>
        </w:rPr>
        <w:footnoteReference w:id="129"/>
      </w:r>
    </w:p>
    <w:p w14:paraId="66F5B996" w14:textId="381A72F1" w:rsidR="00545F7A" w:rsidRDefault="00FA064D" w:rsidP="00545F7A">
      <w:pPr>
        <w:spacing w:before="240" w:after="240"/>
        <w:jc w:val="both"/>
        <w:rPr>
          <w:rFonts w:cs="Segoe UI"/>
        </w:rPr>
      </w:pPr>
      <w:r>
        <w:rPr>
          <w:rFonts w:cs="Segoe UI"/>
        </w:rPr>
        <w:fldChar w:fldCharType="begin"/>
      </w:r>
      <w:r>
        <w:rPr>
          <w:rFonts w:cs="Segoe UI"/>
        </w:rPr>
        <w:instrText xml:space="preserve"> REF _Ref494313379 \h </w:instrText>
      </w:r>
      <w:r>
        <w:rPr>
          <w:rFonts w:cs="Segoe UI"/>
        </w:rPr>
      </w:r>
      <w:r>
        <w:rPr>
          <w:rFonts w:cs="Segoe UI"/>
        </w:rPr>
        <w:fldChar w:fldCharType="separate"/>
      </w:r>
      <w:r w:rsidR="000D1C35">
        <w:t xml:space="preserve">Table </w:t>
      </w:r>
      <w:r w:rsidR="000D1C35">
        <w:rPr>
          <w:noProof/>
        </w:rPr>
        <w:t>61</w:t>
      </w:r>
      <w:r>
        <w:rPr>
          <w:rFonts w:cs="Segoe UI"/>
        </w:rPr>
        <w:fldChar w:fldCharType="end"/>
      </w:r>
      <w:r>
        <w:rPr>
          <w:rFonts w:cs="Segoe UI"/>
        </w:rPr>
        <w:t xml:space="preserve"> </w:t>
      </w:r>
      <w:r w:rsidR="00545F7A">
        <w:rPr>
          <w:rFonts w:cs="Segoe UI"/>
        </w:rPr>
        <w:t xml:space="preserve">provides an overview, at a Region-level, of the pumping capacities required by type of pumping station. </w:t>
      </w:r>
    </w:p>
    <w:p w14:paraId="7BDD9F0F" w14:textId="7028D0CF" w:rsidR="00545F7A" w:rsidRDefault="00545F7A" w:rsidP="00545F7A">
      <w:pPr>
        <w:pStyle w:val="Caption"/>
        <w:jc w:val="both"/>
      </w:pPr>
      <w:bookmarkStart w:id="274" w:name="_Ref494313379"/>
      <w:bookmarkStart w:id="275" w:name="_Toc500969425"/>
      <w:r>
        <w:t xml:space="preserve">Table </w:t>
      </w:r>
      <w:fldSimple w:instr=" SEQ Table \* ARABIC ">
        <w:r w:rsidR="000D1C35">
          <w:rPr>
            <w:noProof/>
          </w:rPr>
          <w:t>61</w:t>
        </w:r>
      </w:fldSimple>
      <w:bookmarkEnd w:id="274"/>
      <w:r>
        <w:t>: Pumping station size requirements in kW by type and Region</w:t>
      </w:r>
      <w:bookmarkEnd w:id="275"/>
    </w:p>
    <w:p w14:paraId="002BEE0D" w14:textId="77777777" w:rsidR="00545F7A" w:rsidRDefault="00545F7A" w:rsidP="00545F7A">
      <w:pPr>
        <w:spacing w:before="240" w:after="240"/>
        <w:jc w:val="both"/>
        <w:rPr>
          <w:rFonts w:cs="Segoe UI"/>
        </w:rPr>
      </w:pPr>
      <w:r w:rsidRPr="0063442D">
        <w:rPr>
          <w:noProof/>
        </w:rPr>
        <w:drawing>
          <wp:inline distT="0" distB="0" distL="0" distR="0" wp14:anchorId="5F8E9B5C" wp14:editId="7CEAF807">
            <wp:extent cx="4745736" cy="1481328"/>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45736" cy="1481328"/>
                    </a:xfrm>
                    <a:prstGeom prst="rect">
                      <a:avLst/>
                    </a:prstGeom>
                    <a:noFill/>
                    <a:ln>
                      <a:noFill/>
                    </a:ln>
                  </pic:spPr>
                </pic:pic>
              </a:graphicData>
            </a:graphic>
          </wp:inline>
        </w:drawing>
      </w:r>
    </w:p>
    <w:p w14:paraId="305815E8" w14:textId="10761E7C" w:rsidR="00545F7A" w:rsidRDefault="00545F7A" w:rsidP="00545F7A">
      <w:pPr>
        <w:spacing w:before="240" w:after="240"/>
        <w:jc w:val="both"/>
        <w:rPr>
          <w:rFonts w:cs="Segoe UI"/>
        </w:rPr>
      </w:pPr>
      <w:r>
        <w:rPr>
          <w:rFonts w:cs="Segoe UI"/>
        </w:rPr>
        <w:lastRenderedPageBreak/>
        <w:t>Based on the pumping capacity requirements, we further assess the nationwide average size requirements for water pumps and solar systems, as well as daily electricity consumption by type of pumping station, as shown in</w:t>
      </w:r>
      <w:r w:rsidR="00D30713">
        <w:rPr>
          <w:rFonts w:cs="Segoe UI"/>
        </w:rPr>
        <w:t xml:space="preserve"> </w:t>
      </w:r>
      <w:r w:rsidR="00D30713">
        <w:rPr>
          <w:rFonts w:cs="Segoe UI"/>
        </w:rPr>
        <w:fldChar w:fldCharType="begin"/>
      </w:r>
      <w:r w:rsidR="00D30713">
        <w:rPr>
          <w:rFonts w:cs="Segoe UI"/>
        </w:rPr>
        <w:instrText xml:space="preserve"> REF _Ref494313807 \h </w:instrText>
      </w:r>
      <w:r w:rsidR="00D30713">
        <w:rPr>
          <w:rFonts w:cs="Segoe UI"/>
        </w:rPr>
      </w:r>
      <w:r w:rsidR="00D30713">
        <w:rPr>
          <w:rFonts w:cs="Segoe UI"/>
        </w:rPr>
        <w:fldChar w:fldCharType="separate"/>
      </w:r>
      <w:r w:rsidR="000D1C35">
        <w:t xml:space="preserve">Table </w:t>
      </w:r>
      <w:r w:rsidR="000D1C35">
        <w:rPr>
          <w:noProof/>
        </w:rPr>
        <w:t>62</w:t>
      </w:r>
      <w:r w:rsidR="00D30713">
        <w:rPr>
          <w:rFonts w:cs="Segoe UI"/>
        </w:rPr>
        <w:fldChar w:fldCharType="end"/>
      </w:r>
      <w:r>
        <w:rPr>
          <w:rFonts w:cs="Segoe UI"/>
        </w:rPr>
        <w:t>; note that there are significant size variances across each type of pumping station.</w:t>
      </w:r>
    </w:p>
    <w:p w14:paraId="3E4D2D10" w14:textId="3E5FD927" w:rsidR="00545F7A" w:rsidRDefault="00545F7A" w:rsidP="00545F7A">
      <w:pPr>
        <w:pStyle w:val="Caption"/>
        <w:jc w:val="both"/>
      </w:pPr>
      <w:bookmarkStart w:id="276" w:name="_Ref494313807"/>
      <w:bookmarkStart w:id="277" w:name="_Toc500969426"/>
      <w:r>
        <w:t xml:space="preserve">Table </w:t>
      </w:r>
      <w:fldSimple w:instr=" SEQ Table \* ARABIC ">
        <w:r w:rsidR="000D1C35">
          <w:rPr>
            <w:noProof/>
          </w:rPr>
          <w:t>62</w:t>
        </w:r>
      </w:fldSimple>
      <w:bookmarkEnd w:id="276"/>
      <w:r>
        <w:t>: Average pump size, electricity consumption, and solar system size by pumping station</w:t>
      </w:r>
      <w:bookmarkEnd w:id="277"/>
    </w:p>
    <w:p w14:paraId="4BEA297F" w14:textId="2DE1745E" w:rsidR="002E4EFE" w:rsidRPr="00600CC8" w:rsidRDefault="00545F7A" w:rsidP="002D197A">
      <w:pPr>
        <w:spacing w:before="240" w:after="240"/>
        <w:jc w:val="both"/>
        <w:rPr>
          <w:rFonts w:cs="Segoe UI"/>
        </w:rPr>
      </w:pPr>
      <w:r w:rsidRPr="006C5D36">
        <w:rPr>
          <w:noProof/>
        </w:rPr>
        <w:drawing>
          <wp:inline distT="0" distB="0" distL="0" distR="0" wp14:anchorId="5D3A1C0D" wp14:editId="19531423">
            <wp:extent cx="5285232" cy="813816"/>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5232" cy="813816"/>
                    </a:xfrm>
                    <a:prstGeom prst="rect">
                      <a:avLst/>
                    </a:prstGeom>
                    <a:noFill/>
                    <a:ln>
                      <a:noFill/>
                    </a:ln>
                  </pic:spPr>
                </pic:pic>
              </a:graphicData>
            </a:graphic>
          </wp:inline>
        </w:drawing>
      </w:r>
    </w:p>
    <w:sectPr w:rsidR="002E4EFE" w:rsidRPr="00600CC8" w:rsidSect="00E509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ABFCD" w14:textId="77777777" w:rsidR="00E1202C" w:rsidRDefault="00E1202C" w:rsidP="00D80FAB">
      <w:pPr>
        <w:spacing w:after="0" w:line="240" w:lineRule="auto"/>
      </w:pPr>
      <w:r>
        <w:separator/>
      </w:r>
    </w:p>
  </w:endnote>
  <w:endnote w:type="continuationSeparator" w:id="0">
    <w:p w14:paraId="4DC2FE76" w14:textId="77777777" w:rsidR="00E1202C" w:rsidRDefault="00E1202C" w:rsidP="00D80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408771012"/>
      <w:docPartObj>
        <w:docPartGallery w:val="Page Numbers (Bottom of Page)"/>
        <w:docPartUnique/>
      </w:docPartObj>
    </w:sdtPr>
    <w:sdtEndPr>
      <w:rPr>
        <w:color w:val="A6A6A6" w:themeColor="background1" w:themeShade="A6"/>
        <w:spacing w:val="60"/>
        <w:sz w:val="20"/>
        <w:szCs w:val="20"/>
      </w:rPr>
    </w:sdtEndPr>
    <w:sdtContent>
      <w:p w14:paraId="5824AD19" w14:textId="3D405FF3" w:rsidR="00BB3453" w:rsidRPr="0003676A" w:rsidRDefault="00BB3453" w:rsidP="0003676A">
        <w:pPr>
          <w:pStyle w:val="Footer"/>
          <w:pBdr>
            <w:top w:val="single" w:sz="4" w:space="1" w:color="D9D9D9" w:themeColor="background1" w:themeShade="D9"/>
          </w:pBdr>
          <w:jc w:val="right"/>
          <w:rPr>
            <w:color w:val="A6A6A6" w:themeColor="background1" w:themeShade="A6"/>
            <w:sz w:val="20"/>
            <w:szCs w:val="20"/>
          </w:rPr>
        </w:pPr>
        <w:r w:rsidRPr="00D2264D">
          <w:rPr>
            <w:color w:val="A6A6A6" w:themeColor="background1" w:themeShade="A6"/>
            <w:sz w:val="20"/>
            <w:szCs w:val="20"/>
          </w:rPr>
          <w:fldChar w:fldCharType="begin"/>
        </w:r>
        <w:r w:rsidRPr="00D2264D">
          <w:rPr>
            <w:color w:val="A6A6A6" w:themeColor="background1" w:themeShade="A6"/>
            <w:sz w:val="20"/>
            <w:szCs w:val="20"/>
          </w:rPr>
          <w:instrText xml:space="preserve"> PAGE   \* MERGEFORMAT </w:instrText>
        </w:r>
        <w:r w:rsidRPr="00D2264D">
          <w:rPr>
            <w:color w:val="A6A6A6" w:themeColor="background1" w:themeShade="A6"/>
            <w:sz w:val="20"/>
            <w:szCs w:val="20"/>
          </w:rPr>
          <w:fldChar w:fldCharType="separate"/>
        </w:r>
        <w:r w:rsidR="002D197A">
          <w:rPr>
            <w:noProof/>
            <w:color w:val="A6A6A6" w:themeColor="background1" w:themeShade="A6"/>
            <w:sz w:val="20"/>
            <w:szCs w:val="20"/>
          </w:rPr>
          <w:t>3</w:t>
        </w:r>
        <w:r w:rsidRPr="00D2264D">
          <w:rPr>
            <w:noProof/>
            <w:color w:val="A6A6A6" w:themeColor="background1" w:themeShade="A6"/>
            <w:sz w:val="20"/>
            <w:szCs w:val="20"/>
          </w:rPr>
          <w:fldChar w:fldCharType="end"/>
        </w:r>
        <w:r w:rsidRPr="00D2264D">
          <w:rPr>
            <w:color w:val="A6A6A6" w:themeColor="background1" w:themeShade="A6"/>
            <w:sz w:val="20"/>
            <w:szCs w:val="20"/>
          </w:rPr>
          <w:t xml:space="preserve"> </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145119614"/>
      <w:docPartObj>
        <w:docPartGallery w:val="Page Numbers (Bottom of Page)"/>
        <w:docPartUnique/>
      </w:docPartObj>
    </w:sdtPr>
    <w:sdtEndPr>
      <w:rPr>
        <w:color w:val="A6A6A6" w:themeColor="background1" w:themeShade="A6"/>
        <w:spacing w:val="60"/>
        <w:sz w:val="20"/>
        <w:szCs w:val="20"/>
      </w:rPr>
    </w:sdtEndPr>
    <w:sdtContent>
      <w:p w14:paraId="6A6B761A" w14:textId="25AD18C8" w:rsidR="00BB3453" w:rsidRPr="00D2264D" w:rsidRDefault="00BB3453" w:rsidP="00844834">
        <w:pPr>
          <w:pStyle w:val="Footer"/>
          <w:pBdr>
            <w:top w:val="single" w:sz="4" w:space="1" w:color="D9D9D9" w:themeColor="background1" w:themeShade="D9"/>
          </w:pBdr>
          <w:jc w:val="right"/>
          <w:rPr>
            <w:color w:val="A6A6A6" w:themeColor="background1" w:themeShade="A6"/>
            <w:sz w:val="20"/>
            <w:szCs w:val="20"/>
          </w:rPr>
        </w:pPr>
        <w:r w:rsidRPr="00D2264D">
          <w:rPr>
            <w:color w:val="A6A6A6" w:themeColor="background1" w:themeShade="A6"/>
            <w:sz w:val="20"/>
            <w:szCs w:val="20"/>
          </w:rPr>
          <w:fldChar w:fldCharType="begin"/>
        </w:r>
        <w:r w:rsidRPr="00D2264D">
          <w:rPr>
            <w:color w:val="A6A6A6" w:themeColor="background1" w:themeShade="A6"/>
            <w:sz w:val="20"/>
            <w:szCs w:val="20"/>
          </w:rPr>
          <w:instrText xml:space="preserve"> PAGE   \* MERGEFORMAT </w:instrText>
        </w:r>
        <w:r w:rsidRPr="00D2264D">
          <w:rPr>
            <w:color w:val="A6A6A6" w:themeColor="background1" w:themeShade="A6"/>
            <w:sz w:val="20"/>
            <w:szCs w:val="20"/>
          </w:rPr>
          <w:fldChar w:fldCharType="separate"/>
        </w:r>
        <w:r w:rsidR="002D197A">
          <w:rPr>
            <w:noProof/>
            <w:color w:val="A6A6A6" w:themeColor="background1" w:themeShade="A6"/>
            <w:sz w:val="20"/>
            <w:szCs w:val="20"/>
          </w:rPr>
          <w:t>2</w:t>
        </w:r>
        <w:r w:rsidRPr="00D2264D">
          <w:rPr>
            <w:noProof/>
            <w:color w:val="A6A6A6" w:themeColor="background1" w:themeShade="A6"/>
            <w:sz w:val="20"/>
            <w:szCs w:val="20"/>
          </w:rPr>
          <w:fldChar w:fldCharType="end"/>
        </w:r>
        <w:r w:rsidRPr="00D2264D">
          <w:rPr>
            <w:color w:val="A6A6A6" w:themeColor="background1" w:themeShade="A6"/>
            <w:sz w:val="20"/>
            <w:szCs w:val="20"/>
          </w:rPr>
          <w:t xml:space="preserve"> </w:t>
        </w:r>
      </w:p>
    </w:sdtContent>
  </w:sdt>
  <w:p w14:paraId="379EBEDA" w14:textId="77777777" w:rsidR="00BB3453" w:rsidRPr="00844834" w:rsidRDefault="00BB3453" w:rsidP="0084483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712102110"/>
      <w:docPartObj>
        <w:docPartGallery w:val="Page Numbers (Bottom of Page)"/>
        <w:docPartUnique/>
      </w:docPartObj>
    </w:sdtPr>
    <w:sdtEndPr>
      <w:rPr>
        <w:color w:val="A6A6A6" w:themeColor="background1" w:themeShade="A6"/>
        <w:spacing w:val="60"/>
        <w:sz w:val="20"/>
        <w:szCs w:val="20"/>
      </w:rPr>
    </w:sdtEndPr>
    <w:sdtContent>
      <w:p w14:paraId="3448C456" w14:textId="59850CA9" w:rsidR="00BB3453" w:rsidRPr="0003676A" w:rsidRDefault="00BB3453" w:rsidP="0003676A">
        <w:pPr>
          <w:pStyle w:val="Footer"/>
          <w:pBdr>
            <w:top w:val="single" w:sz="4" w:space="1" w:color="D9D9D9" w:themeColor="background1" w:themeShade="D9"/>
          </w:pBdr>
          <w:jc w:val="right"/>
          <w:rPr>
            <w:color w:val="A6A6A6" w:themeColor="background1" w:themeShade="A6"/>
            <w:sz w:val="20"/>
            <w:szCs w:val="20"/>
          </w:rPr>
        </w:pPr>
        <w:r w:rsidRPr="00D2264D">
          <w:rPr>
            <w:color w:val="A6A6A6" w:themeColor="background1" w:themeShade="A6"/>
            <w:sz w:val="20"/>
            <w:szCs w:val="20"/>
          </w:rPr>
          <w:fldChar w:fldCharType="begin"/>
        </w:r>
        <w:r w:rsidRPr="00D2264D">
          <w:rPr>
            <w:color w:val="A6A6A6" w:themeColor="background1" w:themeShade="A6"/>
            <w:sz w:val="20"/>
            <w:szCs w:val="20"/>
          </w:rPr>
          <w:instrText xml:space="preserve"> PAGE   \* MERGEFORMAT </w:instrText>
        </w:r>
        <w:r w:rsidRPr="00D2264D">
          <w:rPr>
            <w:color w:val="A6A6A6" w:themeColor="background1" w:themeShade="A6"/>
            <w:sz w:val="20"/>
            <w:szCs w:val="20"/>
          </w:rPr>
          <w:fldChar w:fldCharType="separate"/>
        </w:r>
        <w:r w:rsidR="002D197A">
          <w:rPr>
            <w:noProof/>
            <w:color w:val="A6A6A6" w:themeColor="background1" w:themeShade="A6"/>
            <w:sz w:val="20"/>
            <w:szCs w:val="20"/>
          </w:rPr>
          <w:t>121</w:t>
        </w:r>
        <w:r w:rsidRPr="00D2264D">
          <w:rPr>
            <w:noProof/>
            <w:color w:val="A6A6A6" w:themeColor="background1" w:themeShade="A6"/>
            <w:sz w:val="20"/>
            <w:szCs w:val="20"/>
          </w:rPr>
          <w:fldChar w:fldCharType="end"/>
        </w:r>
        <w:r w:rsidRPr="00D2264D">
          <w:rPr>
            <w:color w:val="A6A6A6" w:themeColor="background1" w:themeShade="A6"/>
            <w:sz w:val="20"/>
            <w:szCs w:val="20"/>
          </w:rPr>
          <w:t xml:space="preserve"> </w: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571851115"/>
      <w:docPartObj>
        <w:docPartGallery w:val="Page Numbers (Bottom of Page)"/>
        <w:docPartUnique/>
      </w:docPartObj>
    </w:sdtPr>
    <w:sdtEndPr>
      <w:rPr>
        <w:color w:val="A6A6A6" w:themeColor="background1" w:themeShade="A6"/>
        <w:spacing w:val="60"/>
        <w:sz w:val="20"/>
        <w:szCs w:val="20"/>
      </w:rPr>
    </w:sdtEndPr>
    <w:sdtContent>
      <w:p w14:paraId="3CD7A48A" w14:textId="452F7858" w:rsidR="00BB3453" w:rsidRPr="0003676A" w:rsidRDefault="00BB3453" w:rsidP="0003676A">
        <w:pPr>
          <w:pStyle w:val="Footer"/>
          <w:pBdr>
            <w:top w:val="single" w:sz="4" w:space="1" w:color="D9D9D9" w:themeColor="background1" w:themeShade="D9"/>
          </w:pBdr>
          <w:jc w:val="right"/>
          <w:rPr>
            <w:color w:val="A6A6A6" w:themeColor="background1" w:themeShade="A6"/>
            <w:sz w:val="20"/>
            <w:szCs w:val="20"/>
          </w:rPr>
        </w:pPr>
        <w:r w:rsidRPr="00D2264D">
          <w:rPr>
            <w:color w:val="A6A6A6" w:themeColor="background1" w:themeShade="A6"/>
            <w:sz w:val="20"/>
            <w:szCs w:val="20"/>
          </w:rPr>
          <w:fldChar w:fldCharType="begin"/>
        </w:r>
        <w:r w:rsidRPr="00D2264D">
          <w:rPr>
            <w:color w:val="A6A6A6" w:themeColor="background1" w:themeShade="A6"/>
            <w:sz w:val="20"/>
            <w:szCs w:val="20"/>
          </w:rPr>
          <w:instrText xml:space="preserve"> PAGE   \* MERGEFORMAT </w:instrText>
        </w:r>
        <w:r w:rsidRPr="00D2264D">
          <w:rPr>
            <w:color w:val="A6A6A6" w:themeColor="background1" w:themeShade="A6"/>
            <w:sz w:val="20"/>
            <w:szCs w:val="20"/>
          </w:rPr>
          <w:fldChar w:fldCharType="separate"/>
        </w:r>
        <w:r w:rsidR="002D197A">
          <w:rPr>
            <w:noProof/>
            <w:color w:val="A6A6A6" w:themeColor="background1" w:themeShade="A6"/>
            <w:sz w:val="20"/>
            <w:szCs w:val="20"/>
          </w:rPr>
          <w:t>99</w:t>
        </w:r>
        <w:r w:rsidRPr="00D2264D">
          <w:rPr>
            <w:noProof/>
            <w:color w:val="A6A6A6" w:themeColor="background1" w:themeShade="A6"/>
            <w:sz w:val="20"/>
            <w:szCs w:val="20"/>
          </w:rPr>
          <w:fldChar w:fldCharType="end"/>
        </w:r>
        <w:r w:rsidRPr="00D2264D">
          <w:rPr>
            <w:color w:val="A6A6A6" w:themeColor="background1" w:themeShade="A6"/>
            <w:sz w:val="20"/>
            <w:szCs w:val="20"/>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369D8" w14:textId="77777777" w:rsidR="00E1202C" w:rsidRDefault="00E1202C" w:rsidP="00D80FAB">
      <w:pPr>
        <w:spacing w:after="0" w:line="240" w:lineRule="auto"/>
      </w:pPr>
      <w:r>
        <w:separator/>
      </w:r>
    </w:p>
  </w:footnote>
  <w:footnote w:type="continuationSeparator" w:id="0">
    <w:p w14:paraId="7358CCA4" w14:textId="77777777" w:rsidR="00E1202C" w:rsidRDefault="00E1202C" w:rsidP="00D80FAB">
      <w:pPr>
        <w:spacing w:after="0" w:line="240" w:lineRule="auto"/>
      </w:pPr>
      <w:r>
        <w:continuationSeparator/>
      </w:r>
    </w:p>
  </w:footnote>
  <w:footnote w:id="1">
    <w:p w14:paraId="404E6104" w14:textId="77777777" w:rsidR="00BB3453" w:rsidRPr="002A0FC7" w:rsidRDefault="00BB3453" w:rsidP="00864470">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United Nations Development Programme: </w:t>
      </w:r>
      <w:r w:rsidRPr="002A0FC7">
        <w:rPr>
          <w:rFonts w:cs="Segoe UI"/>
          <w:i/>
          <w:sz w:val="14"/>
          <w:szCs w:val="14"/>
        </w:rPr>
        <w:t>Human Development Report 2016</w:t>
      </w:r>
      <w:r w:rsidRPr="002A0FC7">
        <w:rPr>
          <w:rFonts w:cs="Segoe UI"/>
          <w:sz w:val="14"/>
          <w:szCs w:val="14"/>
        </w:rPr>
        <w:t>; available at http://hdr.undp.org/en/2016-report/download</w:t>
      </w:r>
    </w:p>
  </w:footnote>
  <w:footnote w:id="2">
    <w:p w14:paraId="19EC9A0B" w14:textId="77777777" w:rsidR="00BB3453" w:rsidRPr="002A0FC7" w:rsidRDefault="00BB3453" w:rsidP="00864470">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CIA: The World Factbook, </w:t>
      </w:r>
      <w:r w:rsidRPr="002A0FC7">
        <w:rPr>
          <w:rFonts w:cs="Segoe UI"/>
          <w:i/>
          <w:sz w:val="14"/>
          <w:szCs w:val="14"/>
        </w:rPr>
        <w:t>Country Report Niger</w:t>
      </w:r>
      <w:r w:rsidRPr="002A0FC7">
        <w:rPr>
          <w:rFonts w:cs="Segoe UI"/>
          <w:sz w:val="14"/>
          <w:szCs w:val="14"/>
        </w:rPr>
        <w:t>; June 2017; available at https://www.cia.gov/library/publications/the-world-factbook/geos/ng.html</w:t>
      </w:r>
    </w:p>
  </w:footnote>
  <w:footnote w:id="3">
    <w:p w14:paraId="49D201B7" w14:textId="0F077E7F" w:rsidR="00BB3453" w:rsidRPr="002A0FC7" w:rsidRDefault="00BB3453">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w:t>
      </w:r>
      <w:bookmarkStart w:id="2" w:name="_Hlk494310232"/>
      <w:r w:rsidRPr="002A0FC7">
        <w:rPr>
          <w:rFonts w:cs="Segoe UI"/>
          <w:sz w:val="14"/>
          <w:szCs w:val="14"/>
        </w:rPr>
        <w:t xml:space="preserve">Financial Sector Reform and Strengthening Initiative (FIRST), The Program Management Unit, </w:t>
      </w:r>
      <w:r w:rsidRPr="002A0FC7">
        <w:rPr>
          <w:rFonts w:cs="Segoe UI"/>
          <w:i/>
          <w:sz w:val="14"/>
          <w:szCs w:val="14"/>
        </w:rPr>
        <w:t>Improving Access to Financial Services in Niger</w:t>
      </w:r>
      <w:r w:rsidRPr="002A0FC7">
        <w:rPr>
          <w:rFonts w:cs="Segoe UI"/>
          <w:sz w:val="14"/>
          <w:szCs w:val="14"/>
        </w:rPr>
        <w:t>, 2016</w:t>
      </w:r>
      <w:bookmarkEnd w:id="2"/>
    </w:p>
  </w:footnote>
  <w:footnote w:id="4">
    <w:p w14:paraId="025A2C63" w14:textId="513FBD5A" w:rsidR="00EF7928" w:rsidRDefault="00EF7928">
      <w:pPr>
        <w:pStyle w:val="FootnoteText"/>
      </w:pPr>
      <w:r w:rsidRPr="00636C74">
        <w:rPr>
          <w:rStyle w:val="FootnoteReference"/>
          <w:sz w:val="14"/>
          <w:szCs w:val="14"/>
        </w:rPr>
        <w:footnoteRef/>
      </w:r>
      <w:r>
        <w:t xml:space="preserve"> </w:t>
      </w:r>
      <w:r>
        <w:rPr>
          <w:rFonts w:cs="Segoe UI"/>
          <w:sz w:val="14"/>
          <w:szCs w:val="14"/>
        </w:rPr>
        <w:t>Small solar</w:t>
      </w:r>
      <w:r w:rsidRPr="002A0FC7">
        <w:rPr>
          <w:rFonts w:cs="Segoe UI"/>
          <w:sz w:val="14"/>
          <w:szCs w:val="14"/>
        </w:rPr>
        <w:t xml:space="preserve"> pumping kits are sold as ‘complete solution packages’, which include a pump and the solar system to power the pump (int</w:t>
      </w:r>
      <w:r>
        <w:rPr>
          <w:rFonts w:cs="Segoe UI"/>
          <w:sz w:val="14"/>
          <w:szCs w:val="14"/>
        </w:rPr>
        <w:t xml:space="preserve">egrated sets). </w:t>
      </w:r>
    </w:p>
  </w:footnote>
  <w:footnote w:id="5">
    <w:p w14:paraId="5A5D3430" w14:textId="08BAF94F" w:rsidR="00BB3453" w:rsidRPr="002A0FC7" w:rsidRDefault="00BB3453">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World Bank, </w:t>
      </w:r>
      <w:r w:rsidRPr="002A0FC7">
        <w:rPr>
          <w:rFonts w:cs="Segoe UI"/>
          <w:i/>
          <w:sz w:val="14"/>
          <w:szCs w:val="14"/>
        </w:rPr>
        <w:t>World Bank help to Increase Access to Electricity in Niger</w:t>
      </w:r>
      <w:r w:rsidRPr="002A0FC7">
        <w:rPr>
          <w:rFonts w:cs="Segoe UI"/>
          <w:sz w:val="14"/>
          <w:szCs w:val="14"/>
        </w:rPr>
        <w:t xml:space="preserve"> (Dec. 16th, 2015) available at http://www.worldbank.org/en/news/press-release/2015/12/16/world-bank-help-to-increase-access-to-electricity-in-niger</w:t>
      </w:r>
    </w:p>
  </w:footnote>
  <w:footnote w:id="6">
    <w:p w14:paraId="390BD6E9" w14:textId="27748F23" w:rsidR="00BB3453" w:rsidRPr="002A0FC7" w:rsidRDefault="00BB3453" w:rsidP="00C06F68">
      <w:pPr>
        <w:pStyle w:val="FootnoteText"/>
        <w:contextualSpacing/>
        <w:rPr>
          <w:rFonts w:cs="Segoe UI"/>
          <w:sz w:val="14"/>
          <w:szCs w:val="14"/>
          <w:lang w:val="en-GB"/>
        </w:rPr>
      </w:pPr>
      <w:r w:rsidRPr="002A0FC7">
        <w:rPr>
          <w:rStyle w:val="FootnoteReference"/>
          <w:rFonts w:cs="Segoe UI"/>
          <w:sz w:val="14"/>
          <w:szCs w:val="14"/>
        </w:rPr>
        <w:footnoteRef/>
      </w:r>
      <w:r w:rsidRPr="002A0FC7">
        <w:rPr>
          <w:rFonts w:cs="Segoe UI"/>
          <w:sz w:val="14"/>
          <w:szCs w:val="14"/>
        </w:rPr>
        <w:t xml:space="preserve"> International Renewable Energy Agency (IRENA), </w:t>
      </w:r>
      <w:r w:rsidRPr="002A0FC7">
        <w:rPr>
          <w:rFonts w:cs="Segoe UI"/>
          <w:i/>
          <w:sz w:val="14"/>
          <w:szCs w:val="14"/>
        </w:rPr>
        <w:t>Niger Renewable Readiness Assessment</w:t>
      </w:r>
      <w:r w:rsidRPr="002A0FC7">
        <w:rPr>
          <w:rFonts w:cs="Segoe UI"/>
          <w:sz w:val="14"/>
          <w:szCs w:val="14"/>
        </w:rPr>
        <w:t xml:space="preserve"> (2013), available at http://www.irena.org/DocumentDownloads/Publications/RRA_Niger.pdf</w:t>
      </w:r>
    </w:p>
  </w:footnote>
  <w:footnote w:id="7">
    <w:p w14:paraId="16407C31" w14:textId="77777777" w:rsidR="00BB3453" w:rsidRPr="002A0FC7" w:rsidRDefault="00BB3453" w:rsidP="00C06F68">
      <w:pPr>
        <w:pStyle w:val="FootnoteText"/>
        <w:contextualSpacing/>
        <w:rPr>
          <w:rFonts w:cs="Segoe UI"/>
          <w:sz w:val="14"/>
          <w:szCs w:val="14"/>
          <w:lang w:val="en-GB"/>
        </w:rPr>
      </w:pPr>
      <w:r w:rsidRPr="002A0FC7">
        <w:rPr>
          <w:rStyle w:val="FootnoteReference"/>
          <w:rFonts w:cs="Segoe UI"/>
          <w:sz w:val="14"/>
          <w:szCs w:val="14"/>
        </w:rPr>
        <w:footnoteRef/>
      </w:r>
      <w:r w:rsidRPr="002A0FC7">
        <w:rPr>
          <w:rFonts w:cs="Segoe UI"/>
          <w:sz w:val="14"/>
          <w:szCs w:val="14"/>
        </w:rPr>
        <w:t xml:space="preserve"> Ibid</w:t>
      </w:r>
    </w:p>
  </w:footnote>
  <w:footnote w:id="8">
    <w:p w14:paraId="42E92B95"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 and NIGELEC data</w:t>
      </w:r>
    </w:p>
  </w:footnote>
  <w:footnote w:id="9">
    <w:p w14:paraId="0639CD6C" w14:textId="1AD66AC8" w:rsidR="00BB3453" w:rsidRPr="002A0FC7" w:rsidRDefault="00BB3453" w:rsidP="00C06F68">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Ibid</w:t>
      </w:r>
    </w:p>
  </w:footnote>
  <w:footnote w:id="10">
    <w:p w14:paraId="728A56FD" w14:textId="77777777" w:rsidR="00BB3453" w:rsidRPr="002A0FC7" w:rsidRDefault="00BB3453" w:rsidP="00C06F68">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Societé Nigerienne d’electricité NIGELEC (June 2016), </w:t>
      </w:r>
      <w:r w:rsidRPr="002A0FC7">
        <w:rPr>
          <w:rFonts w:cs="Segoe UI"/>
          <w:i/>
          <w:sz w:val="14"/>
          <w:szCs w:val="14"/>
          <w:lang w:val="fr-FR"/>
        </w:rPr>
        <w:t>Plan d’affaires 2016-2027</w:t>
      </w:r>
    </w:p>
  </w:footnote>
  <w:footnote w:id="11">
    <w:p w14:paraId="40380EF0" w14:textId="77777777" w:rsidR="00BB3453" w:rsidRPr="002A0FC7" w:rsidRDefault="00BB3453" w:rsidP="00C06F68">
      <w:pPr>
        <w:pStyle w:val="FootnoteText"/>
        <w:contextualSpacing/>
        <w:rPr>
          <w:rFonts w:cs="Segoe UI"/>
          <w:sz w:val="14"/>
          <w:szCs w:val="14"/>
          <w:lang w:val="en-GB"/>
        </w:rPr>
      </w:pPr>
      <w:r w:rsidRPr="002A0FC7">
        <w:rPr>
          <w:rStyle w:val="FootnoteReference"/>
          <w:rFonts w:cs="Segoe UI"/>
          <w:sz w:val="14"/>
          <w:szCs w:val="14"/>
        </w:rPr>
        <w:footnoteRef/>
      </w:r>
      <w:r w:rsidRPr="002A0FC7">
        <w:rPr>
          <w:rFonts w:cs="Segoe UI"/>
          <w:sz w:val="14"/>
          <w:szCs w:val="14"/>
        </w:rPr>
        <w:t xml:space="preserve"> International Renewable Energy Agency (</w:t>
      </w:r>
      <w:r w:rsidRPr="002A0FC7">
        <w:rPr>
          <w:rFonts w:cs="Segoe UI"/>
          <w:sz w:val="14"/>
          <w:szCs w:val="14"/>
          <w:lang w:val="en-GB"/>
        </w:rPr>
        <w:t xml:space="preserve">IRENA), </w:t>
      </w:r>
      <w:r w:rsidRPr="002A0FC7">
        <w:rPr>
          <w:rFonts w:cs="Segoe UI"/>
          <w:i/>
          <w:sz w:val="14"/>
          <w:szCs w:val="14"/>
          <w:lang w:val="en-GB"/>
        </w:rPr>
        <w:t>Niger Renewable Readiness Assessment</w:t>
      </w:r>
      <w:r w:rsidRPr="002A0FC7">
        <w:rPr>
          <w:rFonts w:cs="Segoe UI"/>
          <w:sz w:val="14"/>
          <w:szCs w:val="14"/>
          <w:lang w:val="en-GB"/>
        </w:rPr>
        <w:t xml:space="preserve"> (2013), </w:t>
      </w:r>
      <w:r w:rsidRPr="002A0FC7">
        <w:rPr>
          <w:rFonts w:cs="Segoe UI"/>
          <w:i/>
          <w:sz w:val="14"/>
          <w:szCs w:val="14"/>
          <w:lang w:val="en-GB"/>
        </w:rPr>
        <w:t xml:space="preserve">available at </w:t>
      </w:r>
      <w:r w:rsidRPr="002A0FC7">
        <w:rPr>
          <w:rFonts w:cs="Segoe UI"/>
          <w:sz w:val="14"/>
          <w:szCs w:val="14"/>
          <w:lang w:val="en-GB"/>
        </w:rPr>
        <w:t>http://www.irena.org/DocumentDownloads/Publications/RRA_Niger.pdf</w:t>
      </w:r>
    </w:p>
  </w:footnote>
  <w:footnote w:id="12">
    <w:p w14:paraId="41A1DDBC" w14:textId="77777777" w:rsidR="00BB3453" w:rsidRPr="002A0FC7" w:rsidRDefault="00BB3453" w:rsidP="00C06F68">
      <w:pPr>
        <w:pStyle w:val="FootnoteText"/>
        <w:contextualSpacing/>
        <w:rPr>
          <w:rFonts w:cs="Segoe UI"/>
          <w:sz w:val="14"/>
          <w:szCs w:val="14"/>
          <w:lang w:val="en-GB"/>
        </w:rPr>
      </w:pPr>
      <w:r w:rsidRPr="002A0FC7">
        <w:rPr>
          <w:rStyle w:val="FootnoteReference"/>
          <w:rFonts w:cs="Segoe UI"/>
          <w:sz w:val="14"/>
          <w:szCs w:val="14"/>
        </w:rPr>
        <w:footnoteRef/>
      </w:r>
      <w:r w:rsidRPr="002A0FC7">
        <w:rPr>
          <w:rFonts w:cs="Segoe UI"/>
          <w:sz w:val="14"/>
          <w:szCs w:val="14"/>
        </w:rPr>
        <w:t xml:space="preserve"> Ibid</w:t>
      </w:r>
    </w:p>
  </w:footnote>
  <w:footnote w:id="13">
    <w:p w14:paraId="79C4593F" w14:textId="3B891D40" w:rsidR="00BB3453" w:rsidRPr="002A0FC7" w:rsidRDefault="00BB3453" w:rsidP="00C06F68">
      <w:pPr>
        <w:pStyle w:val="FootnoteText"/>
        <w:contextualSpacing/>
        <w:rPr>
          <w:rFonts w:cs="Segoe UI"/>
          <w:sz w:val="14"/>
          <w:szCs w:val="14"/>
          <w:lang w:val="en-GB"/>
        </w:rPr>
      </w:pPr>
      <w:r w:rsidRPr="002A0FC7">
        <w:rPr>
          <w:rStyle w:val="FootnoteReference"/>
          <w:rFonts w:cs="Segoe UI"/>
          <w:sz w:val="14"/>
          <w:szCs w:val="14"/>
        </w:rPr>
        <w:footnoteRef/>
      </w:r>
      <w:r w:rsidRPr="002A0FC7">
        <w:rPr>
          <w:rFonts w:cs="Segoe UI"/>
          <w:sz w:val="14"/>
          <w:szCs w:val="14"/>
        </w:rPr>
        <w:t xml:space="preserve"> World Bank, </w:t>
      </w:r>
      <w:r w:rsidRPr="002A0FC7">
        <w:rPr>
          <w:rFonts w:cs="Segoe UI"/>
          <w:i/>
          <w:sz w:val="14"/>
          <w:szCs w:val="14"/>
        </w:rPr>
        <w:t xml:space="preserve">Electric Power Consumption </w:t>
      </w:r>
      <w:r w:rsidRPr="002A0FC7">
        <w:rPr>
          <w:rFonts w:cs="Segoe UI"/>
          <w:sz w:val="14"/>
          <w:szCs w:val="14"/>
        </w:rPr>
        <w:t>(2013), available at http://data.worldbank.org/indicator/EG.USE.ELEC.KH.PC</w:t>
      </w:r>
    </w:p>
  </w:footnote>
  <w:footnote w:id="14">
    <w:p w14:paraId="7CA0D1ED" w14:textId="5BD0565F"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International Renewable Energy Agency (</w:t>
      </w:r>
      <w:r w:rsidRPr="002A0FC7">
        <w:rPr>
          <w:rFonts w:cs="Segoe UI"/>
          <w:sz w:val="14"/>
          <w:szCs w:val="14"/>
          <w:lang w:val="en-GB"/>
        </w:rPr>
        <w:t xml:space="preserve">IRENA), </w:t>
      </w:r>
      <w:r w:rsidRPr="002A0FC7">
        <w:rPr>
          <w:rFonts w:cs="Segoe UI"/>
          <w:i/>
          <w:sz w:val="14"/>
          <w:szCs w:val="14"/>
          <w:lang w:val="en-GB"/>
        </w:rPr>
        <w:t>Niger Renewable Readiness Assessment</w:t>
      </w:r>
      <w:r w:rsidRPr="002A0FC7">
        <w:rPr>
          <w:rFonts w:cs="Segoe UI"/>
          <w:sz w:val="14"/>
          <w:szCs w:val="14"/>
          <w:lang w:val="en-GB"/>
        </w:rPr>
        <w:t xml:space="preserve"> (2013), </w:t>
      </w:r>
      <w:r w:rsidRPr="002A0FC7">
        <w:rPr>
          <w:rFonts w:cs="Segoe UI"/>
          <w:i/>
          <w:sz w:val="14"/>
          <w:szCs w:val="14"/>
          <w:lang w:val="en-GB"/>
        </w:rPr>
        <w:t xml:space="preserve">available at </w:t>
      </w:r>
      <w:r w:rsidRPr="002A0FC7">
        <w:rPr>
          <w:rFonts w:cs="Segoe UI"/>
          <w:sz w:val="14"/>
          <w:szCs w:val="14"/>
          <w:lang w:val="en-GB"/>
        </w:rPr>
        <w:t>http://www.irena.org/DocumentDownloads/Publications/RRA_Niger.pdf</w:t>
      </w:r>
    </w:p>
  </w:footnote>
  <w:footnote w:id="15">
    <w:p w14:paraId="40A25DAB" w14:textId="62EA97B6" w:rsidR="00BB3453" w:rsidRPr="002A0FC7" w:rsidRDefault="00BB3453" w:rsidP="00C06F68">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World Bank, </w:t>
      </w:r>
      <w:r w:rsidRPr="002A0FC7">
        <w:rPr>
          <w:rFonts w:cs="Segoe UI"/>
          <w:i/>
          <w:sz w:val="14"/>
          <w:szCs w:val="14"/>
        </w:rPr>
        <w:t>World Bank help to Increase Access to Electricity in Niger</w:t>
      </w:r>
      <w:r w:rsidRPr="002A0FC7">
        <w:rPr>
          <w:rFonts w:cs="Segoe UI"/>
          <w:sz w:val="14"/>
          <w:szCs w:val="14"/>
        </w:rPr>
        <w:t xml:space="preserve"> (Dec. 16th, 2015) available at http://www.worldbank.org/en/news/press-release/2015/12/16/world-bank-help-to-increase-access-to-electricity-in-niger</w:t>
      </w:r>
    </w:p>
  </w:footnote>
  <w:footnote w:id="16">
    <w:p w14:paraId="2FF04A9B" w14:textId="77777777" w:rsidR="00BB3453" w:rsidRPr="002A0FC7" w:rsidRDefault="00BB3453" w:rsidP="00C06F68">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Ibid</w:t>
      </w:r>
    </w:p>
  </w:footnote>
  <w:footnote w:id="17">
    <w:p w14:paraId="186833BC" w14:textId="77777777" w:rsidR="00BB3453" w:rsidRPr="002A0FC7" w:rsidRDefault="00BB3453" w:rsidP="00C06F68">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Societé Nigerienne d’electricité NIGELEC (June 2016), </w:t>
      </w:r>
      <w:r w:rsidRPr="002A0FC7">
        <w:rPr>
          <w:rFonts w:cs="Segoe UI"/>
          <w:i/>
          <w:sz w:val="14"/>
          <w:szCs w:val="14"/>
          <w:lang w:val="fr-FR"/>
        </w:rPr>
        <w:t>Plan d’affaires 2016-2027</w:t>
      </w:r>
    </w:p>
  </w:footnote>
  <w:footnote w:id="18">
    <w:p w14:paraId="753A4AF9" w14:textId="1B6EF078"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map serves to give an indicative picture only; the accuracy of geographic location of the grid, extension plans, and centres isolés is limited by the quality of available data. </w:t>
      </w:r>
    </w:p>
  </w:footnote>
  <w:footnote w:id="19">
    <w:p w14:paraId="32DB98E3" w14:textId="77777777" w:rsidR="00BB3453" w:rsidRPr="002A0FC7" w:rsidRDefault="00BB3453" w:rsidP="00C06F68">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Societé Nigerienne d’electricité NIGELEC (June 2016), </w:t>
      </w:r>
      <w:r w:rsidRPr="002A0FC7">
        <w:rPr>
          <w:rFonts w:cs="Segoe UI"/>
          <w:i/>
          <w:sz w:val="14"/>
          <w:szCs w:val="14"/>
          <w:lang w:val="fr-FR"/>
        </w:rPr>
        <w:t>Plan d’affaires 2016-2027</w:t>
      </w:r>
    </w:p>
  </w:footnote>
  <w:footnote w:id="20">
    <w:p w14:paraId="2D850F90"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w:t>
      </w:r>
    </w:p>
  </w:footnote>
  <w:footnote w:id="21">
    <w:p w14:paraId="64B2CBA5" w14:textId="5A77CFE2"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t>
      </w:r>
      <w:r w:rsidRPr="002A0FC7">
        <w:rPr>
          <w:rFonts w:cs="Segoe UI"/>
          <w:bCs/>
          <w:sz w:val="14"/>
          <w:szCs w:val="14"/>
        </w:rPr>
        <w:t>The World Bank</w:t>
      </w:r>
      <w:r w:rsidRPr="002A0FC7">
        <w:rPr>
          <w:rFonts w:cs="Segoe UI"/>
          <w:bCs/>
          <w:i/>
          <w:sz w:val="14"/>
          <w:szCs w:val="14"/>
        </w:rPr>
        <w:t xml:space="preserve">, World Bank help to increase access to electricity in Niger </w:t>
      </w:r>
      <w:r w:rsidRPr="002A0FC7">
        <w:rPr>
          <w:rFonts w:cs="Segoe UI"/>
          <w:bCs/>
          <w:sz w:val="14"/>
          <w:szCs w:val="14"/>
        </w:rPr>
        <w:t>(December 16, 2015), available at</w:t>
      </w:r>
      <w:r w:rsidRPr="002A0FC7">
        <w:rPr>
          <w:rFonts w:cs="Segoe UI"/>
          <w:bCs/>
          <w:i/>
          <w:sz w:val="14"/>
          <w:szCs w:val="14"/>
        </w:rPr>
        <w:t xml:space="preserve"> </w:t>
      </w:r>
      <w:r w:rsidRPr="002A0FC7">
        <w:rPr>
          <w:rFonts w:cs="Segoe UI"/>
          <w:bCs/>
          <w:sz w:val="14"/>
          <w:szCs w:val="14"/>
        </w:rPr>
        <w:t>http://www.worldbank.org/en/news/press-release/2015/12/16/world-bank-help-to-increase-access-to-electricity-in-niger</w:t>
      </w:r>
    </w:p>
  </w:footnote>
  <w:footnote w:id="22">
    <w:p w14:paraId="3A3B6BF5" w14:textId="77777777" w:rsidR="00BB3453" w:rsidRPr="002A0FC7" w:rsidRDefault="00BB3453" w:rsidP="00C06F68">
      <w:pPr>
        <w:pStyle w:val="FootnoteText"/>
        <w:contextualSpacing/>
        <w:rPr>
          <w:rFonts w:cs="Segoe UI"/>
          <w:b/>
          <w:sz w:val="14"/>
          <w:szCs w:val="14"/>
        </w:rPr>
      </w:pPr>
      <w:r w:rsidRPr="002A0FC7">
        <w:rPr>
          <w:rStyle w:val="FootnoteReference"/>
          <w:rFonts w:cs="Segoe UI"/>
          <w:sz w:val="14"/>
          <w:szCs w:val="14"/>
        </w:rPr>
        <w:footnoteRef/>
      </w:r>
      <w:r w:rsidRPr="002A0FC7">
        <w:rPr>
          <w:rFonts w:cs="Segoe UI"/>
          <w:sz w:val="14"/>
          <w:szCs w:val="14"/>
        </w:rPr>
        <w:t xml:space="preserve"> AFD Website, </w:t>
      </w:r>
      <w:r w:rsidRPr="002A0FC7">
        <w:rPr>
          <w:rFonts w:cs="Segoe UI"/>
          <w:i/>
          <w:sz w:val="14"/>
          <w:szCs w:val="14"/>
        </w:rPr>
        <w:t>Energy context in Niger</w:t>
      </w:r>
      <w:r w:rsidRPr="002A0FC7">
        <w:rPr>
          <w:rFonts w:cs="Segoe UI"/>
          <w:sz w:val="14"/>
          <w:szCs w:val="14"/>
        </w:rPr>
        <w:t>, http://www.afd.fr/home/pays/afrique/geo-afr/portail-niger/nos-projets/energie-3</w:t>
      </w:r>
    </w:p>
  </w:footnote>
  <w:footnote w:id="23">
    <w:p w14:paraId="49C9E001" w14:textId="47EB7381"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All market size estimations are indicative only and based on the best available data; in absence of quality data for many markets, the analysis is substantially driven by assumptions. Further information can be found within the respective chapters.</w:t>
      </w:r>
    </w:p>
  </w:footnote>
  <w:footnote w:id="24">
    <w:p w14:paraId="459600C1"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annualized market size is defined as the maximum sales revenues achievable in any given year if all potential customers are accessible, interested, and there are no further barriers (e.g. affordability) preventing the transaction. ‘Annualized’ refers to the average annual sales potential under consideration of product lifetimes. If for example 100 households want to buy a solar system, and the solar system has an expected lifetime of 5 years, then the ‘annualized’ sales volume is 20 units (100 units divided by 5 years). </w:t>
      </w:r>
    </w:p>
  </w:footnote>
  <w:footnote w:id="25">
    <w:p w14:paraId="26A7D22B"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market size shown assumes that consumer financing schemes are available for solar lanterns, solar home systems and solar pumping kits for smallholder farmers. The availability of consumer financing schemes makes the market accessible for many households that would not be able to afford the same product in an over-the-counter cash transaction. Further information on consumer financing is provided in the relevant chapters. </w:t>
      </w:r>
    </w:p>
  </w:footnote>
  <w:footnote w:id="26">
    <w:p w14:paraId="5BB2C810" w14:textId="0B256640"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assumes a crop processing level of 85%. The market size for alternative crop processing levels is presented in chapter 4.4. </w:t>
      </w:r>
    </w:p>
  </w:footnote>
  <w:footnote w:id="27">
    <w:p w14:paraId="52A74FB1" w14:textId="52A96F85"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Around 37% of the market size is for large solar electricity production units for AEPs. Further analysis, outside of the scope of this report, is required to determine whether setting up such large solar production facilities in proximity of the pumping stations is a feasible option.</w:t>
      </w:r>
    </w:p>
  </w:footnote>
  <w:footnote w:id="28">
    <w:p w14:paraId="2B871F55" w14:textId="33D6996A"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Based on the government plan to set up 15,000 solar street lights in major urban areas.</w:t>
      </w:r>
    </w:p>
  </w:footnote>
  <w:footnote w:id="29">
    <w:p w14:paraId="4BCD48D9" w14:textId="17DC13C2"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map serves to give an indicative picture only; the accuracy of geographic locations is limited by the quality of available GIS-data.</w:t>
      </w:r>
    </w:p>
  </w:footnote>
  <w:footnote w:id="30">
    <w:p w14:paraId="7C3A9C59"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Consumer financing is defined as the availability of any type of lending scheme that enables buyers of solar products to spread the initial purchase price over a longer repayment period; i.e. it refers to schemes that grant credit to consumers to enable them to possess solar products. One form of consumer financing is the </w:t>
      </w:r>
      <w:r w:rsidRPr="002A0FC7">
        <w:rPr>
          <w:rFonts w:eastAsiaTheme="majorEastAsia" w:cs="Segoe UI"/>
          <w:sz w:val="14"/>
          <w:szCs w:val="14"/>
        </w:rPr>
        <w:t>“Pay-as-you-go” (PAYG) concept which allows consumers pay in installments rather than upfront; in many cases the installment payment activates the device for usage.</w:t>
      </w:r>
      <w:r w:rsidRPr="002A0FC7">
        <w:rPr>
          <w:rFonts w:cs="Segoe UI"/>
          <w:sz w:val="14"/>
          <w:szCs w:val="14"/>
        </w:rPr>
        <w:t xml:space="preserve"> </w:t>
      </w:r>
    </w:p>
  </w:footnote>
  <w:footnote w:id="31">
    <w:p w14:paraId="6F8CEA7B"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These prices are benchmarks from other African countries where solar products are import duty exempt.</w:t>
      </w:r>
    </w:p>
  </w:footnote>
  <w:footnote w:id="32">
    <w:p w14:paraId="0C0C5D1C"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Estimates are derived from extrapolating the RENALOC dataset to reflect 2015 population levels.</w:t>
      </w:r>
    </w:p>
  </w:footnote>
  <w:footnote w:id="33">
    <w:p w14:paraId="61E4AAC1" w14:textId="142BCB59"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SNV Niger, </w:t>
      </w:r>
      <w:r w:rsidRPr="00280289">
        <w:rPr>
          <w:rFonts w:cs="Segoe UI"/>
          <w:i/>
          <w:sz w:val="14"/>
          <w:szCs w:val="14"/>
        </w:rPr>
        <w:t>Improved cook stoves and solar energy – Market and sector analysis</w:t>
      </w:r>
      <w:r w:rsidRPr="002A0FC7">
        <w:rPr>
          <w:rFonts w:cs="Segoe UI"/>
          <w:sz w:val="14"/>
          <w:szCs w:val="14"/>
        </w:rPr>
        <w:t xml:space="preserve"> (July-Sept. 2012); available at: http://www.snv.org/public/cms/sites/default/files/explore/download/niger_market_analysis_re_english.pdf</w:t>
      </w:r>
    </w:p>
  </w:footnote>
  <w:footnote w:id="34">
    <w:p w14:paraId="515CA85A"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analysis assumes that an LED flashlight costs $US1.60, lasts for 6 months, and that consumers spend $0.50 a week on batteries; that a kerosene lamp costs $US1.50, lasts for 2 years, and that consumers spend $1.30 per week on fuel; and that candles cost US$0.20 but that households need buy 10 candles per week</w:t>
      </w:r>
    </w:p>
  </w:footnote>
  <w:footnote w:id="35">
    <w:p w14:paraId="6AB372D6"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Consumer focus groups</w:t>
      </w:r>
    </w:p>
  </w:footnote>
  <w:footnote w:id="36">
    <w:p w14:paraId="01497C66" w14:textId="6B5FC902"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Note this assumes a high-quality system</w:t>
      </w:r>
      <w:r>
        <w:rPr>
          <w:rFonts w:cs="Segoe UI"/>
          <w:sz w:val="14"/>
          <w:szCs w:val="14"/>
        </w:rPr>
        <w:t xml:space="preserve"> meeting Lighting Global Standards</w:t>
      </w:r>
      <w:r w:rsidRPr="002A0FC7">
        <w:rPr>
          <w:rFonts w:cs="Segoe UI"/>
          <w:sz w:val="14"/>
          <w:szCs w:val="14"/>
        </w:rPr>
        <w:t>; knock-off products have considerably shorter battery lives</w:t>
      </w:r>
    </w:p>
  </w:footnote>
  <w:footnote w:id="37">
    <w:p w14:paraId="7B3603CF"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http://africanenergy.com/new/wp-content/uploads/2012/08/africainsolationtable.pdf</w:t>
      </w:r>
    </w:p>
  </w:footnote>
  <w:footnote w:id="38">
    <w:p w14:paraId="71A50FC2" w14:textId="43382A19" w:rsidR="00BB3453" w:rsidRPr="002A0FC7" w:rsidRDefault="00BB3453">
      <w:pPr>
        <w:pStyle w:val="FootnoteText"/>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These include for example the impôt sur le benefice (3%), redevance statistique à l’import (1%), taxe vérification des importation (1%), prélèvement communautaire solidarité (1%), and the prélèvement communautaire (1%).</w:t>
      </w:r>
    </w:p>
  </w:footnote>
  <w:footnote w:id="39">
    <w:p w14:paraId="145F29C9"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World Bank: Development Indicators Database</w:t>
      </w:r>
    </w:p>
  </w:footnote>
  <w:footnote w:id="40">
    <w:p w14:paraId="5D075861"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Overview of AHA provided by ONAHA</w:t>
      </w:r>
    </w:p>
  </w:footnote>
  <w:footnote w:id="41">
    <w:p w14:paraId="7DD6784C"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w:t>
      </w:r>
    </w:p>
  </w:footnote>
  <w:footnote w:id="42">
    <w:p w14:paraId="2D6CE4E8" w14:textId="65422536"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capacity utilization is the extent to which the productive capacity of the pump is being used, e.g. if the pumping capacity is 100 liters per hour, but only 80 liters per hour are being pumped, then the pump is running at 80% capacity utilization.</w:t>
      </w:r>
    </w:p>
  </w:footnote>
  <w:footnote w:id="43">
    <w:p w14:paraId="430FF0D7" w14:textId="6258ECE2"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Our analysis revealed various effects, besides the existence of a business case, that impacted the market size for different sizes of pumping stations. The limited market for smaller systems is predominantly due to lacking market viability, i.e. many of the smaller systems have no business case in direct comparison with diesel generators. As pumping stations become bigger, the effect of decreasing price per kW with increasing system size, is mitigated by the fact that larger systems have to pump (i) more water, for (ii) a greater distance; we ignore further efficiency effects from larger systems for the purpose of this analysis. </w:t>
      </w:r>
    </w:p>
  </w:footnote>
  <w:footnote w:id="44">
    <w:p w14:paraId="56490706"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Data received from the Ministry of Agriculture</w:t>
      </w:r>
    </w:p>
  </w:footnote>
  <w:footnote w:id="45">
    <w:p w14:paraId="4A9F4B05"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Data received from ONAHA</w:t>
      </w:r>
    </w:p>
  </w:footnote>
  <w:footnote w:id="46">
    <w:p w14:paraId="5C0DD07D"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FAO, available at http://www.fao.org/nr/water/aquastat/countries_regions/NER/</w:t>
      </w:r>
    </w:p>
  </w:footnote>
  <w:footnote w:id="47">
    <w:p w14:paraId="509040F7" w14:textId="2BAEAAAF"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small pumping kits are sold as ‘complete solution packages’, which include a pump and the solar system to power the pump (integrated sets). In contrast, component solutions are sales of individual components, such as solar panels, pumps, batteries, inverters etc., which are combined for larger solar pumping systems. </w:t>
      </w:r>
    </w:p>
  </w:footnote>
  <w:footnote w:id="48">
    <w:p w14:paraId="20E4F97A"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Consultations in Niger revealed that cheap generators are available at US $100, but these have lifespans of at best around 2 years.</w:t>
      </w:r>
    </w:p>
  </w:footnote>
  <w:footnote w:id="49">
    <w:p w14:paraId="3FFA7648" w14:textId="7CF54122"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As shown above, there is no business case for farmers to switch from grid to solar; as a consequence, any farmers connected to the grid would anyway be excluded from the viable market. Effects from this assumption are not considered to have a material impact on the annualized market size.</w:t>
      </w:r>
    </w:p>
  </w:footnote>
  <w:footnote w:id="50">
    <w:p w14:paraId="0E87733E" w14:textId="585C0536"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These market breakdown assumptions were required as no empirical data is available.</w:t>
      </w:r>
    </w:p>
  </w:footnote>
  <w:footnote w:id="51">
    <w:p w14:paraId="22DFE73F" w14:textId="00E6263C"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Consultation with Taibou A. Maiga, World Bank Sr Water and Sanitation Specialist, Niamey</w:t>
      </w:r>
    </w:p>
  </w:footnote>
  <w:footnote w:id="52">
    <w:p w14:paraId="13574504" w14:textId="1E4D9FE5"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Consultation with Taibou A. Maiga, World Bank Sr Water and Sanitation Specialist, Niamey</w:t>
      </w:r>
    </w:p>
  </w:footnote>
  <w:footnote w:id="53">
    <w:p w14:paraId="4C6F304B" w14:textId="18298BB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No information available on the breakdown by power source for the different pumping stations.</w:t>
      </w:r>
    </w:p>
  </w:footnote>
  <w:footnote w:id="54">
    <w:p w14:paraId="0B28789D" w14:textId="6EFF13CF"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ignores potential costs incurred for wages to operate the manual hand pump.</w:t>
      </w:r>
    </w:p>
  </w:footnote>
  <w:footnote w:id="55">
    <w:p w14:paraId="065E172B" w14:textId="01639B29"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w:t>
      </w:r>
    </w:p>
  </w:footnote>
  <w:footnote w:id="56">
    <w:p w14:paraId="61EA2CA4"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See for instance Sida REEEP in Zambia; EnDev RBF facilities across East Africa; DBE WC facilities in Ethiopia</w:t>
      </w:r>
    </w:p>
  </w:footnote>
  <w:footnote w:id="57">
    <w:p w14:paraId="6FBF6A17"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w:t>
      </w:r>
    </w:p>
  </w:footnote>
  <w:footnote w:id="58">
    <w:p w14:paraId="042139CE" w14:textId="05F4D675"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Based on: 1) Financial Sector Reform and Strengthening Initiative (FIRST), The Program Management Unit, </w:t>
      </w:r>
      <w:r w:rsidRPr="002A0FC7">
        <w:rPr>
          <w:rFonts w:cs="Segoe UI"/>
          <w:i/>
          <w:sz w:val="14"/>
          <w:szCs w:val="14"/>
        </w:rPr>
        <w:t xml:space="preserve">Improving Access to Financial Services in Niger </w:t>
      </w:r>
      <w:r w:rsidRPr="002A0FC7">
        <w:rPr>
          <w:rFonts w:cs="Segoe UI"/>
          <w:sz w:val="14"/>
          <w:szCs w:val="14"/>
        </w:rPr>
        <w:t xml:space="preserve">(2016), </w:t>
      </w:r>
      <w:r w:rsidRPr="002A0FC7">
        <w:rPr>
          <w:rFonts w:cs="Segoe UI"/>
          <w:i/>
          <w:sz w:val="14"/>
          <w:szCs w:val="14"/>
        </w:rPr>
        <w:t>available at</w:t>
      </w:r>
      <w:r w:rsidRPr="002A0FC7">
        <w:rPr>
          <w:rFonts w:cs="Segoe UI"/>
          <w:sz w:val="14"/>
          <w:szCs w:val="14"/>
        </w:rPr>
        <w:t xml:space="preserve"> https://www.firstinitiative.org/projects/improving-access-financial-services-niger; 2) The World Bank, Global Findex Database, </w:t>
      </w:r>
      <w:r w:rsidRPr="002A0FC7">
        <w:rPr>
          <w:rFonts w:cs="Segoe UI"/>
          <w:i/>
          <w:sz w:val="14"/>
          <w:szCs w:val="14"/>
        </w:rPr>
        <w:t>Financial Inclusion Data</w:t>
      </w:r>
      <w:r w:rsidRPr="002A0FC7">
        <w:rPr>
          <w:rFonts w:cs="Segoe UI"/>
          <w:sz w:val="14"/>
          <w:szCs w:val="14"/>
        </w:rPr>
        <w:t xml:space="preserve"> (2014), </w:t>
      </w:r>
      <w:r w:rsidRPr="002A0FC7">
        <w:rPr>
          <w:rFonts w:cs="Segoe UI"/>
          <w:i/>
          <w:sz w:val="14"/>
          <w:szCs w:val="14"/>
        </w:rPr>
        <w:t>available at</w:t>
      </w:r>
      <w:r w:rsidRPr="002A0FC7">
        <w:rPr>
          <w:rFonts w:cs="Segoe UI"/>
          <w:sz w:val="14"/>
          <w:szCs w:val="14"/>
        </w:rPr>
        <w:t xml:space="preserve"> http://datatopics.worldbank.org/financialinclusion/country/niger; and 3) World Bank Project Appraisal Document (PAD)</w:t>
      </w:r>
    </w:p>
  </w:footnote>
  <w:footnote w:id="59">
    <w:p w14:paraId="4EED768D" w14:textId="4EEC799D" w:rsidR="00BB3453" w:rsidRPr="002A0FC7" w:rsidRDefault="00BB3453" w:rsidP="00EB2964">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Financial Sector Reform and Strengthening Initiative (FIRST), The Program Management Unit, </w:t>
      </w:r>
      <w:r w:rsidRPr="002A0FC7">
        <w:rPr>
          <w:rFonts w:cs="Segoe UI"/>
          <w:i/>
          <w:sz w:val="14"/>
          <w:szCs w:val="14"/>
        </w:rPr>
        <w:t xml:space="preserve">Improving Access to Financial Services in Niger </w:t>
      </w:r>
      <w:r w:rsidRPr="002A0FC7">
        <w:rPr>
          <w:rFonts w:cs="Segoe UI"/>
          <w:sz w:val="14"/>
          <w:szCs w:val="14"/>
        </w:rPr>
        <w:t xml:space="preserve">(2016), </w:t>
      </w:r>
      <w:r w:rsidRPr="002A0FC7">
        <w:rPr>
          <w:rFonts w:cs="Segoe UI"/>
          <w:i/>
          <w:sz w:val="14"/>
          <w:szCs w:val="14"/>
        </w:rPr>
        <w:t>available at</w:t>
      </w:r>
      <w:r w:rsidRPr="002A0FC7">
        <w:rPr>
          <w:rFonts w:cs="Segoe UI"/>
          <w:sz w:val="14"/>
          <w:szCs w:val="14"/>
        </w:rPr>
        <w:t xml:space="preserve"> https://www.firstinitiative.org/projects/improving-access-financial-services-niger</w:t>
      </w:r>
    </w:p>
  </w:footnote>
  <w:footnote w:id="60">
    <w:p w14:paraId="3EF44C07" w14:textId="7C3155F9"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t>
      </w:r>
      <w:r w:rsidRPr="002A0FC7">
        <w:rPr>
          <w:rFonts w:cs="Segoe UI"/>
          <w:color w:val="222222"/>
          <w:sz w:val="14"/>
          <w:szCs w:val="14"/>
          <w:shd w:val="clear" w:color="auto" w:fill="FFFFFF"/>
        </w:rPr>
        <w:t>Financial Sector Reform and Strengthening Initiative (FIRST), The Program Management Unit,</w:t>
      </w:r>
      <w:r w:rsidRPr="002A0FC7">
        <w:rPr>
          <w:rStyle w:val="apple-converted-space"/>
          <w:rFonts w:cs="Segoe UI"/>
          <w:color w:val="222222"/>
          <w:sz w:val="14"/>
          <w:szCs w:val="14"/>
          <w:shd w:val="clear" w:color="auto" w:fill="FFFFFF"/>
        </w:rPr>
        <w:t> </w:t>
      </w:r>
      <w:r w:rsidRPr="002A0FC7">
        <w:rPr>
          <w:rFonts w:cs="Segoe UI"/>
          <w:i/>
          <w:iCs/>
          <w:color w:val="222222"/>
          <w:sz w:val="14"/>
          <w:szCs w:val="14"/>
          <w:shd w:val="clear" w:color="auto" w:fill="FFFFFF"/>
        </w:rPr>
        <w:t>Improving Access to Financial Services in Niger</w:t>
      </w:r>
      <w:r w:rsidRPr="002A0FC7">
        <w:rPr>
          <w:rStyle w:val="apple-converted-space"/>
          <w:rFonts w:cs="Segoe UI"/>
          <w:i/>
          <w:iCs/>
          <w:color w:val="222222"/>
          <w:sz w:val="14"/>
          <w:szCs w:val="14"/>
          <w:shd w:val="clear" w:color="auto" w:fill="FFFFFF"/>
        </w:rPr>
        <w:t> </w:t>
      </w:r>
      <w:r w:rsidRPr="002A0FC7">
        <w:rPr>
          <w:rFonts w:cs="Segoe UI"/>
          <w:color w:val="222222"/>
          <w:sz w:val="14"/>
          <w:szCs w:val="14"/>
          <w:shd w:val="clear" w:color="auto" w:fill="FFFFFF"/>
        </w:rPr>
        <w:t>(2016)</w:t>
      </w:r>
      <w:r w:rsidRPr="002A0FC7">
        <w:rPr>
          <w:rFonts w:cs="Segoe UI"/>
          <w:sz w:val="14"/>
          <w:szCs w:val="14"/>
        </w:rPr>
        <w:t xml:space="preserve"> </w:t>
      </w:r>
    </w:p>
  </w:footnote>
  <w:footnote w:id="61">
    <w:p w14:paraId="49B71B74" w14:textId="2CA6BE0F"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World Bank, Domestic Credit to Private Sector (% of GDP), available at http://data.worldbank.org/indicator/FS.AST.PRVT.GD.ZS?locations=NE&amp;name_desc=true</w:t>
      </w:r>
    </w:p>
  </w:footnote>
  <w:footnote w:id="62">
    <w:p w14:paraId="3D157319"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interviews with MNOs in Niger</w:t>
      </w:r>
    </w:p>
  </w:footnote>
  <w:footnote w:id="63">
    <w:p w14:paraId="7AED55A7"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Ibid</w:t>
      </w:r>
    </w:p>
  </w:footnote>
  <w:footnote w:id="64">
    <w:p w14:paraId="7D2AD234" w14:textId="77777777" w:rsidR="00BB3453" w:rsidRPr="002A0FC7" w:rsidRDefault="00BB3453" w:rsidP="005A6A3D">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United States Department of State, Bureau of Democracy, Human Rights, and Labor, </w:t>
      </w:r>
      <w:r w:rsidRPr="002A0FC7">
        <w:rPr>
          <w:rFonts w:cs="Segoe UI"/>
          <w:i/>
          <w:sz w:val="14"/>
          <w:szCs w:val="14"/>
        </w:rPr>
        <w:t>International Religious Freedom Report for 2015</w:t>
      </w:r>
      <w:r w:rsidRPr="002A0FC7">
        <w:rPr>
          <w:rFonts w:cs="Segoe UI"/>
          <w:sz w:val="14"/>
          <w:szCs w:val="14"/>
        </w:rPr>
        <w:t>; available at: https://www.state.gov/documents/organization/256267.pdf</w:t>
      </w:r>
    </w:p>
  </w:footnote>
  <w:footnote w:id="65">
    <w:p w14:paraId="3739C43A"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Adapted from similar section in recent OCA report on solar in Zambia for World Bank</w:t>
      </w:r>
    </w:p>
  </w:footnote>
  <w:footnote w:id="66">
    <w:p w14:paraId="3E29AD4D"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See, for instance, IFC mini-grids benchmarking (http://sun-connect-news.org/fileadmin/DATEIEN/Dateien/New/IFC_Minigrids_Benchmarking_Report_Single_Pages_January_2017.pdf)</w:t>
      </w:r>
    </w:p>
  </w:footnote>
  <w:footnote w:id="67">
    <w:p w14:paraId="5FEA40B5"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See, for instance, Azuri and Sunculture in Kenya</w:t>
      </w:r>
    </w:p>
  </w:footnote>
  <w:footnote w:id="68">
    <w:p w14:paraId="40333635" w14:textId="76FA6B40"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World Bank, </w:t>
      </w:r>
      <w:r w:rsidRPr="002A0FC7">
        <w:rPr>
          <w:rFonts w:cs="Segoe UI"/>
          <w:i/>
          <w:sz w:val="14"/>
          <w:szCs w:val="14"/>
        </w:rPr>
        <w:t>Mobile Cellular Subscriptions</w:t>
      </w:r>
      <w:r w:rsidRPr="002A0FC7">
        <w:rPr>
          <w:rFonts w:cs="Segoe UI"/>
          <w:sz w:val="14"/>
          <w:szCs w:val="14"/>
        </w:rPr>
        <w:t xml:space="preserve"> (2015) available at http://data.worldbank.org/indicator/IT.CEL.SETS?end=2015&amp;locations=NE&amp;start=2015&amp;view=bar</w:t>
      </w:r>
    </w:p>
  </w:footnote>
  <w:footnote w:id="69">
    <w:p w14:paraId="07B363B4"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 with Airtel</w:t>
      </w:r>
    </w:p>
  </w:footnote>
  <w:footnote w:id="70">
    <w:p w14:paraId="01598BDC" w14:textId="536AC6BD"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Low mobile money penetration is a challenge for organizations that want to offer consumer financing to private households for the purchase of small household systems. Private sector players, development organizations and financial service providers stated this as key hindrance to more rapid growth of microfinance options in this sector.   </w:t>
      </w:r>
    </w:p>
  </w:footnote>
  <w:footnote w:id="71">
    <w:p w14:paraId="1E051E21" w14:textId="77777777" w:rsidR="00BB3453" w:rsidRPr="002A0FC7" w:rsidRDefault="00BB3453" w:rsidP="000D51C1">
      <w:pPr>
        <w:pStyle w:val="FootnoteText"/>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These include for example the impôt sur le benefice (3%), redevance statistique à l’import (1%), taxe vérification des importation (1%), prélèvement communautaire solidarité (1%), and the prélèvement communautaire (1%).</w:t>
      </w:r>
    </w:p>
  </w:footnote>
  <w:footnote w:id="72">
    <w:p w14:paraId="7B6D2EB9"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As an example, one business consulted reported having to post CFA 108M in collateral for a CFA 60M loan (approx. USD 200k)</w:t>
      </w:r>
    </w:p>
  </w:footnote>
  <w:footnote w:id="73">
    <w:p w14:paraId="26A66E5D"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GIIN West Africa Dalberg report</w:t>
      </w:r>
    </w:p>
  </w:footnote>
  <w:footnote w:id="74">
    <w:p w14:paraId="59E4A2B3"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World Bank Findex http://datatopics.worldbank.org/financialinclusion/country/niger</w:t>
      </w:r>
    </w:p>
  </w:footnote>
  <w:footnote w:id="75">
    <w:p w14:paraId="3342A0B8"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ASMR via WB PAD</w:t>
      </w:r>
    </w:p>
  </w:footnote>
  <w:footnote w:id="76">
    <w:p w14:paraId="1E1C77B5" w14:textId="77777777"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consultations</w:t>
      </w:r>
    </w:p>
  </w:footnote>
  <w:footnote w:id="77">
    <w:p w14:paraId="134D817A" w14:textId="420A95EF"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funding requirement shown is the gross funding requirement, i.e. it includes both the facilities and the guarantees to cover the facilities. Depending on how the interventions are structured, there will be no need to double the funding requirement by holding capital on escrow accounts to guarantee for funding already provided, and only the actual losses incurred require funding in the credit guarantee programs.  </w:t>
      </w:r>
    </w:p>
  </w:footnote>
  <w:footnote w:id="78">
    <w:p w14:paraId="71D81DE7" w14:textId="7FA1E119" w:rsidR="00BB3453" w:rsidRPr="002A0FC7" w:rsidRDefault="00BB3453" w:rsidP="00C06F68">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United States Department of State, Bureau of Democracy, Human Rights, and Labor, </w:t>
      </w:r>
      <w:r w:rsidRPr="002A0FC7">
        <w:rPr>
          <w:rFonts w:cs="Segoe UI"/>
          <w:i/>
          <w:sz w:val="14"/>
          <w:szCs w:val="14"/>
        </w:rPr>
        <w:t>International Religious Freedom Report for 2015</w:t>
      </w:r>
      <w:r w:rsidRPr="002A0FC7">
        <w:rPr>
          <w:rFonts w:cs="Segoe UI"/>
          <w:sz w:val="14"/>
          <w:szCs w:val="14"/>
        </w:rPr>
        <w:t>; available at: https://www.state.gov/documents/organization/256267.pdf</w:t>
      </w:r>
    </w:p>
  </w:footnote>
  <w:footnote w:id="79">
    <w:p w14:paraId="08FA2550" w14:textId="654E058E" w:rsidR="00BB3453" w:rsidRPr="002A0FC7" w:rsidRDefault="00BB3453">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Chartered Institute of Management Accountants (CIMA), </w:t>
      </w:r>
      <w:r w:rsidRPr="002A0FC7">
        <w:rPr>
          <w:rFonts w:cs="Segoe UI"/>
          <w:i/>
          <w:sz w:val="14"/>
          <w:szCs w:val="14"/>
        </w:rPr>
        <w:t>An introduction to Islamic finance</w:t>
      </w:r>
      <w:r w:rsidRPr="002A0FC7">
        <w:rPr>
          <w:rFonts w:cs="Segoe UI"/>
          <w:sz w:val="14"/>
          <w:szCs w:val="14"/>
        </w:rPr>
        <w:t>, 2014; available at: http://www.cimaglobal.com/Documents/Islamic%20finance/Rebrand%20Brochures/Islamic%20Introduction%20brochure_Mar2015.pdf</w:t>
      </w:r>
    </w:p>
  </w:footnote>
  <w:footnote w:id="80">
    <w:p w14:paraId="542D7E0A" w14:textId="77777777" w:rsidR="00BB3453" w:rsidRPr="002A0FC7" w:rsidRDefault="00BB3453" w:rsidP="00774FEF">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ACCA, Exam resources, </w:t>
      </w:r>
      <w:r w:rsidRPr="002A0FC7">
        <w:rPr>
          <w:rFonts w:cs="Segoe UI"/>
          <w:i/>
          <w:sz w:val="14"/>
          <w:szCs w:val="14"/>
        </w:rPr>
        <w:t>Introduction to Islamic finance</w:t>
      </w:r>
      <w:r w:rsidRPr="002A0FC7">
        <w:rPr>
          <w:rFonts w:cs="Segoe UI"/>
          <w:sz w:val="14"/>
          <w:szCs w:val="14"/>
        </w:rPr>
        <w:t>, May 2016, available at: http://www.accaglobal.com/an/en/student/exam-support-resources/fundamentals-exams-study-resources/f9/technical-articles/introduction-to-islamic-finance.html</w:t>
      </w:r>
    </w:p>
  </w:footnote>
  <w:footnote w:id="81">
    <w:p w14:paraId="65F9A1EF" w14:textId="777B2F38" w:rsidR="00BB3453" w:rsidRPr="002A0FC7" w:rsidRDefault="00BB3453">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The analysis is based on the assumption that 80% of solar devices with a sales price of ≥ US $ 40 will be sold with consumer financing. Consumer financing for small solar devices will only be available from year 4 onwards; around 7.5% of small devices sold in year 4 will be financed, growing to 25% in year 5. We further assume that 25% of receivables are written off half a year after the initial sales transaction.</w:t>
      </w:r>
    </w:p>
  </w:footnote>
  <w:footnote w:id="82">
    <w:p w14:paraId="4F29ABA4"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We define mini-grids as an off-grid power generation and distribution facility that uses a central generating asset to provide electricity to many, often diverse end-users; mini-grids are typically managed by distributed energy services companies, who are responsible for maintaining the facilities and managing the sales of energy services.</w:t>
      </w:r>
    </w:p>
  </w:footnote>
  <w:footnote w:id="83">
    <w:p w14:paraId="0CAAA24D" w14:textId="48C4CDEB"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Based on the RENALOC (Répertoire national des localités de Niger) dataset provided by INS (Institut national de la statistique); the dataset is estimated to cover around 86% of the current population and provides Loca</w:t>
      </w:r>
      <w:r>
        <w:rPr>
          <w:rFonts w:cs="Segoe UI"/>
          <w:sz w:val="14"/>
          <w:szCs w:val="14"/>
        </w:rPr>
        <w:t>lity</w:t>
      </w:r>
      <w:r w:rsidRPr="002A0FC7">
        <w:rPr>
          <w:rFonts w:cs="Segoe UI"/>
          <w:sz w:val="14"/>
          <w:szCs w:val="14"/>
        </w:rPr>
        <w:t>-level population count data.</w:t>
      </w:r>
    </w:p>
  </w:footnote>
  <w:footnote w:id="84">
    <w:p w14:paraId="092110C9"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From IRENA report: USD 17,000 / km for 20kV; USD 29,000 /km for 33kV (interpolated); USD 102-145 per household connection</w:t>
      </w:r>
    </w:p>
  </w:footnote>
  <w:footnote w:id="85">
    <w:p w14:paraId="548D93F5" w14:textId="35922242"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As the RENALOC dataset, i.e. the only available Loca</w:t>
      </w:r>
      <w:r>
        <w:rPr>
          <w:rFonts w:cs="Segoe UI"/>
          <w:sz w:val="14"/>
          <w:szCs w:val="14"/>
        </w:rPr>
        <w:t>lity</w:t>
      </w:r>
      <w:r w:rsidRPr="002A0FC7">
        <w:rPr>
          <w:rFonts w:cs="Segoe UI"/>
          <w:sz w:val="14"/>
          <w:szCs w:val="14"/>
        </w:rPr>
        <w:t>-level dataset on household distribution, only includes around 2.3 million households, the results have been extrapolated to represent the estimated current number of households (3.2 million).</w:t>
      </w:r>
    </w:p>
  </w:footnote>
  <w:footnote w:id="86">
    <w:p w14:paraId="56720CE6"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Analysis</w:t>
      </w:r>
    </w:p>
  </w:footnote>
  <w:footnote w:id="87">
    <w:p w14:paraId="7065A6CC"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Analysis; this map serves to give an indicative picture only; the accuracy of geographic locations is limited by the quality of available GIS-data.</w:t>
      </w:r>
    </w:p>
  </w:footnote>
  <w:footnote w:id="88">
    <w:p w14:paraId="06BCD8BF" w14:textId="77777777" w:rsidR="00BB3453" w:rsidRPr="002A0FC7" w:rsidRDefault="00BB3453" w:rsidP="00A42461">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SE4All Africa Hub/African Development Bank: </w:t>
      </w:r>
      <w:r w:rsidRPr="002A0FC7">
        <w:rPr>
          <w:rFonts w:cs="Segoe UI"/>
          <w:i/>
          <w:sz w:val="14"/>
          <w:szCs w:val="14"/>
        </w:rPr>
        <w:t>Green Mini-Grids Market Development Program</w:t>
      </w:r>
      <w:r w:rsidRPr="002A0FC7">
        <w:rPr>
          <w:rFonts w:cs="Segoe UI"/>
          <w:sz w:val="14"/>
          <w:szCs w:val="14"/>
        </w:rPr>
        <w:t>, Doc. Series #1, December 2016</w:t>
      </w:r>
    </w:p>
  </w:footnote>
  <w:footnote w:id="89">
    <w:p w14:paraId="15D3DBF3"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IFC, </w:t>
      </w:r>
      <w:r w:rsidRPr="002A0FC7">
        <w:rPr>
          <w:rFonts w:cs="Segoe UI"/>
          <w:i/>
          <w:sz w:val="14"/>
          <w:szCs w:val="14"/>
        </w:rPr>
        <w:t>Operational and Financial Performance of Mini-Grid DESCOS</w:t>
      </w:r>
      <w:r w:rsidRPr="002A0FC7">
        <w:rPr>
          <w:rFonts w:cs="Segoe UI"/>
          <w:sz w:val="14"/>
          <w:szCs w:val="14"/>
        </w:rPr>
        <w:t>, 2017</w:t>
      </w:r>
    </w:p>
  </w:footnote>
  <w:footnote w:id="90">
    <w:p w14:paraId="7BA9B478"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Ibid</w:t>
      </w:r>
    </w:p>
  </w:footnote>
  <w:footnote w:id="91">
    <w:p w14:paraId="387D4C77"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t>
      </w:r>
      <w:r w:rsidRPr="002A0FC7">
        <w:rPr>
          <w:rFonts w:cs="Segoe UI"/>
          <w:i/>
          <w:sz w:val="14"/>
          <w:szCs w:val="14"/>
        </w:rPr>
        <w:t>Mini-grid toolkit: Policy and Business Frameworks for Successful mini-grid rollouts</w:t>
      </w:r>
      <w:r w:rsidRPr="002A0FC7">
        <w:rPr>
          <w:rFonts w:cs="Segoe UI"/>
          <w:sz w:val="14"/>
          <w:szCs w:val="14"/>
        </w:rPr>
        <w:t>, available at http://www.euei-pdf.org/sites/default/files/field_publication_file/RECP_MiniGrid_Policy_Toolkit_1pageview_%28pdf%2C_17.6MB%2C_EN_0.pdf</w:t>
      </w:r>
    </w:p>
  </w:footnote>
  <w:footnote w:id="92">
    <w:p w14:paraId="39EB4839"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http://rise.esmap.org/about-us</w:t>
      </w:r>
    </w:p>
  </w:footnote>
  <w:footnote w:id="93">
    <w:p w14:paraId="123E8821" w14:textId="77777777" w:rsidR="00BB3453" w:rsidRPr="002A0FC7" w:rsidRDefault="00BB3453" w:rsidP="00A42461">
      <w:pPr>
        <w:pStyle w:val="FootnoteText"/>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Tractebel engie: </w:t>
      </w:r>
      <w:r w:rsidRPr="002A0FC7">
        <w:rPr>
          <w:rFonts w:cs="Segoe UI"/>
          <w:i/>
          <w:sz w:val="14"/>
          <w:szCs w:val="14"/>
          <w:lang w:val="fr-FR"/>
        </w:rPr>
        <w:t>Projet d’expansion de l’accès a l’électricité (NELACEP), Rapport de la tache 1</w:t>
      </w:r>
      <w:r w:rsidRPr="002A0FC7">
        <w:rPr>
          <w:rFonts w:cs="Segoe UI"/>
          <w:sz w:val="14"/>
          <w:szCs w:val="14"/>
          <w:lang w:val="fr-FR"/>
        </w:rPr>
        <w:t>; Niamey, Février 2017</w:t>
      </w:r>
    </w:p>
  </w:footnote>
  <w:footnote w:id="94">
    <w:p w14:paraId="03F9102A" w14:textId="77777777" w:rsidR="00BB3453" w:rsidRPr="002A0FC7" w:rsidRDefault="00BB3453" w:rsidP="00A42461">
      <w:pPr>
        <w:spacing w:after="0" w:line="240" w:lineRule="auto"/>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https://www.afdb.org/en/news-and-events/sefa-grants-us-1-million-to-promote-green-mini-grids-in-niger-15990/</w:t>
      </w:r>
    </w:p>
  </w:footnote>
  <w:footnote w:id="95">
    <w:p w14:paraId="04EDDB40" w14:textId="77777777" w:rsidR="00BB3453" w:rsidRPr="002A0FC7" w:rsidRDefault="00BB3453" w:rsidP="00A42461">
      <w:pPr>
        <w:pStyle w:val="NormalWeb"/>
        <w:spacing w:before="0" w:beforeAutospacing="0" w:after="0" w:afterAutospacing="0"/>
        <w:contextualSpacing/>
        <w:rPr>
          <w:rFonts w:ascii="Segoe UI" w:hAnsi="Segoe UI" w:cs="Segoe UI"/>
          <w:sz w:val="14"/>
          <w:szCs w:val="14"/>
        </w:rPr>
      </w:pPr>
      <w:r w:rsidRPr="002A0FC7">
        <w:rPr>
          <w:rStyle w:val="FootnoteReference"/>
          <w:rFonts w:ascii="Segoe UI" w:hAnsi="Segoe UI" w:cs="Segoe UI"/>
          <w:sz w:val="14"/>
          <w:szCs w:val="14"/>
        </w:rPr>
        <w:footnoteRef/>
      </w:r>
      <w:r w:rsidRPr="002A0FC7">
        <w:rPr>
          <w:rFonts w:ascii="Segoe UI" w:hAnsi="Segoe UI" w:cs="Segoe UI"/>
          <w:sz w:val="14"/>
          <w:szCs w:val="14"/>
        </w:rPr>
        <w:t xml:space="preserve"> About SEFA: Sustainable Energy Fund for Africa (SEFA) “Launched in 2012, SEFA is a US $95-million multi-donor facility funded by the governments of Denmark, the United Kingdom, the United States and Italy. It supports the sustainable energy agenda in Africa through grants to facilitate the preparation of medium-scale renewable energy generation and energy efficiency projects; equity investments to bridge the financing gap for small- and medium-scale renewable energy generation projects; and support to the public sector to improve the enabling environment for private investments in sustainable energy. SEFA is hosted by the Energy, Environment and Climate Change Department of the AfDB.” AFDB https://www.afdb.org/en/news-and-events/sefa-grants-us-1-million-to-promote-green-mini-grids-in-niger-15990/</w:t>
      </w:r>
    </w:p>
  </w:footnote>
  <w:footnote w:id="96">
    <w:p w14:paraId="3400DE5F" w14:textId="77777777" w:rsidR="00BB3453" w:rsidRPr="002A0FC7" w:rsidRDefault="00BB3453" w:rsidP="00A42461">
      <w:pPr>
        <w:pStyle w:val="NormalWeb"/>
        <w:spacing w:before="0" w:beforeAutospacing="0" w:after="0" w:afterAutospacing="0"/>
        <w:contextualSpacing/>
        <w:rPr>
          <w:rFonts w:ascii="Segoe UI" w:hAnsi="Segoe UI" w:cs="Segoe UI"/>
          <w:sz w:val="14"/>
          <w:szCs w:val="14"/>
        </w:rPr>
      </w:pPr>
      <w:r w:rsidRPr="002A0FC7">
        <w:rPr>
          <w:rStyle w:val="FootnoteReference"/>
          <w:rFonts w:ascii="Segoe UI" w:hAnsi="Segoe UI" w:cs="Segoe UI"/>
          <w:sz w:val="14"/>
          <w:szCs w:val="14"/>
        </w:rPr>
        <w:footnoteRef/>
      </w:r>
      <w:r w:rsidRPr="002A0FC7">
        <w:rPr>
          <w:rFonts w:ascii="Segoe UI" w:hAnsi="Segoe UI" w:cs="Segoe UI"/>
          <w:sz w:val="14"/>
          <w:szCs w:val="14"/>
        </w:rPr>
        <w:t xml:space="preserve"> AFDB (2016) </w:t>
      </w:r>
      <w:r w:rsidRPr="002A0FC7">
        <w:rPr>
          <w:rFonts w:ascii="Segoe UI" w:hAnsi="Segoe UI" w:cs="Segoe UI"/>
          <w:i/>
          <w:sz w:val="14"/>
          <w:szCs w:val="14"/>
        </w:rPr>
        <w:t>SEFA grants US $1 million to promote green mini-grids in Niger</w:t>
      </w:r>
      <w:r w:rsidRPr="002A0FC7">
        <w:rPr>
          <w:rFonts w:ascii="Segoe UI" w:hAnsi="Segoe UI" w:cs="Segoe UI"/>
          <w:sz w:val="14"/>
          <w:szCs w:val="14"/>
        </w:rPr>
        <w:t xml:space="preserve"> https://www.afdb.org/en/news-and-events/sefa-grants-us-1-million-to-promote-green-mini-grids-in-niger-15990/</w:t>
      </w:r>
    </w:p>
  </w:footnote>
  <w:footnote w:id="97">
    <w:p w14:paraId="205FBE3A" w14:textId="77777777" w:rsidR="00BB3453" w:rsidRPr="002A0FC7" w:rsidRDefault="00BB3453" w:rsidP="00A42461">
      <w:pPr>
        <w:pStyle w:val="NormalWeb"/>
        <w:spacing w:before="0" w:beforeAutospacing="0" w:after="0" w:afterAutospacing="0"/>
        <w:contextualSpacing/>
        <w:rPr>
          <w:rFonts w:ascii="Segoe UI" w:hAnsi="Segoe UI" w:cs="Segoe UI"/>
          <w:sz w:val="14"/>
          <w:szCs w:val="14"/>
        </w:rPr>
      </w:pPr>
      <w:r w:rsidRPr="002A0FC7">
        <w:rPr>
          <w:rStyle w:val="FootnoteReference"/>
          <w:rFonts w:ascii="Segoe UI" w:hAnsi="Segoe UI" w:cs="Segoe UI"/>
          <w:sz w:val="14"/>
          <w:szCs w:val="14"/>
        </w:rPr>
        <w:footnoteRef/>
      </w:r>
      <w:r w:rsidRPr="002A0FC7">
        <w:rPr>
          <w:rFonts w:ascii="Segoe UI" w:hAnsi="Segoe UI" w:cs="Segoe UI"/>
          <w:sz w:val="14"/>
          <w:szCs w:val="14"/>
        </w:rPr>
        <w:t xml:space="preserve"> Ibid</w:t>
      </w:r>
    </w:p>
  </w:footnote>
  <w:footnote w:id="98">
    <w:p w14:paraId="14117723"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https://pppknowledgelab.org/</w:t>
      </w:r>
    </w:p>
  </w:footnote>
  <w:footnote w:id="99">
    <w:p w14:paraId="7D1438CD" w14:textId="77777777" w:rsidR="00BB3453" w:rsidRPr="002A0FC7" w:rsidRDefault="00BB3453" w:rsidP="00A42461">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SE4All Africa Hub/African Development Bank: </w:t>
      </w:r>
      <w:r w:rsidRPr="002A0FC7">
        <w:rPr>
          <w:rFonts w:cs="Segoe UI"/>
          <w:i/>
          <w:sz w:val="14"/>
          <w:szCs w:val="14"/>
        </w:rPr>
        <w:t>Green Mini-Grids Market Development Program</w:t>
      </w:r>
      <w:r w:rsidRPr="002A0FC7">
        <w:rPr>
          <w:rFonts w:cs="Segoe UI"/>
          <w:sz w:val="14"/>
          <w:szCs w:val="14"/>
        </w:rPr>
        <w:t>, Doc. Series #1, December 2016</w:t>
      </w:r>
    </w:p>
  </w:footnote>
  <w:footnote w:id="100">
    <w:p w14:paraId="0BD40E6E" w14:textId="77777777" w:rsidR="00BB3453" w:rsidRPr="002A0FC7" w:rsidRDefault="00BB3453" w:rsidP="00A42461">
      <w:pPr>
        <w:pStyle w:val="FootnoteText"/>
        <w:rPr>
          <w:rFonts w:cs="Segoe UI"/>
          <w:sz w:val="14"/>
          <w:szCs w:val="14"/>
        </w:rPr>
      </w:pPr>
      <w:r w:rsidRPr="002A0FC7">
        <w:rPr>
          <w:rStyle w:val="FootnoteReference"/>
          <w:rFonts w:cs="Segoe UI"/>
          <w:sz w:val="14"/>
          <w:szCs w:val="14"/>
        </w:rPr>
        <w:footnoteRef/>
      </w:r>
      <w:r w:rsidRPr="002A0FC7">
        <w:rPr>
          <w:rFonts w:cs="Segoe UI"/>
          <w:sz w:val="14"/>
          <w:szCs w:val="14"/>
        </w:rPr>
        <w:t xml:space="preserve"> OCA analysis and market research</w:t>
      </w:r>
    </w:p>
  </w:footnote>
  <w:footnote w:id="101">
    <w:p w14:paraId="613A5279"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These findings are based on the information that was made available to us; in many cases there were significant limitations in the accuracy of the data received.  </w:t>
      </w:r>
    </w:p>
  </w:footnote>
  <w:footnote w:id="102">
    <w:p w14:paraId="157AD4DC"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Based on the RENALOC dataset. </w:t>
      </w:r>
    </w:p>
  </w:footnote>
  <w:footnote w:id="103">
    <w:p w14:paraId="2444BACA"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OCA Analysis</w:t>
      </w:r>
    </w:p>
  </w:footnote>
  <w:footnote w:id="104">
    <w:p w14:paraId="7BBE9A11" w14:textId="77777777" w:rsidR="00BB3453" w:rsidRPr="002A0FC7" w:rsidRDefault="00BB3453" w:rsidP="00A42461">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additional research requires in person visits of the individual locations and is outside the scope of this research engagement.</w:t>
      </w:r>
    </w:p>
  </w:footnote>
  <w:footnote w:id="105">
    <w:p w14:paraId="23AE3614" w14:textId="77777777" w:rsidR="00BB3453" w:rsidRPr="002A0FC7" w:rsidRDefault="00BB3453" w:rsidP="004E7F5F">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lifetime of solar systems, including all components, is based on knowledge gained from secondary research and consultations. For larger PV installations, it is assumed that solar panels have a lifetime of 20 years, with the need to replace batteries every 5 years, and inverters every 10 years. Lighting Africa-approved products have lifetimes from 2 years for the solar lanterns to 5 years for the solar home systems without the need for component replacements. </w:t>
      </w:r>
    </w:p>
  </w:footnote>
  <w:footnote w:id="106">
    <w:p w14:paraId="03C4A835" w14:textId="77777777" w:rsidR="00BB3453" w:rsidRPr="002A0FC7" w:rsidRDefault="00BB3453" w:rsidP="00E16443">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Field water efficiency is defined as the share of water channeled through an irrigation system which is effectively absorbed by the plants. </w:t>
      </w:r>
    </w:p>
  </w:footnote>
  <w:footnote w:id="107">
    <w:p w14:paraId="2A75ADC8" w14:textId="77777777" w:rsidR="00BB3453" w:rsidRPr="002A0FC7" w:rsidRDefault="00BB3453" w:rsidP="00E16443">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10 hectares is equal to 100,000 m</w:t>
      </w:r>
      <w:r w:rsidRPr="002A0FC7">
        <w:rPr>
          <w:rFonts w:cs="Segoe UI"/>
          <w:sz w:val="14"/>
          <w:szCs w:val="14"/>
          <w:vertAlign w:val="superscript"/>
        </w:rPr>
        <w:t>2</w:t>
      </w:r>
      <w:r w:rsidRPr="002A0FC7">
        <w:rPr>
          <w:rFonts w:cs="Segoe UI"/>
          <w:sz w:val="14"/>
          <w:szCs w:val="14"/>
        </w:rPr>
        <w:t xml:space="preserve">, which would be covered by a square plot of around 300x300 meters. The diagonal of such a plot has length of around 450m.  </w:t>
      </w:r>
    </w:p>
  </w:footnote>
  <w:footnote w:id="108">
    <w:p w14:paraId="7F9891CB" w14:textId="77777777" w:rsidR="00BB3453" w:rsidRPr="002A0FC7" w:rsidRDefault="00BB3453" w:rsidP="00E16443">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We have included batteries and inverters in the costing as consultations unanimously revealed this as a requirement to make solar pumping a viable alternative to generator-powered pumping. The for this is that water is pumped for around 10-12 hours a day for the ONAHA schemes, which is not possible with solar without power storage. </w:t>
      </w:r>
    </w:p>
  </w:footnote>
  <w:footnote w:id="109">
    <w:p w14:paraId="30C1433E"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Data received from the Ministry of Agriculture</w:t>
      </w:r>
    </w:p>
  </w:footnote>
  <w:footnote w:id="110">
    <w:p w14:paraId="013D6C02"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Data received from the Ministry of Agriculture</w:t>
      </w:r>
    </w:p>
  </w:footnote>
  <w:footnote w:id="111">
    <w:p w14:paraId="2C652AF8"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This varies depending on the number of harvests per year and average season duration for the crops cultivated.</w:t>
      </w:r>
    </w:p>
  </w:footnote>
  <w:footnote w:id="112">
    <w:p w14:paraId="402E464F"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Data received from the Ministry of Agriculture</w:t>
      </w:r>
    </w:p>
  </w:footnote>
  <w:footnote w:id="113">
    <w:p w14:paraId="4A4C1E5A"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We did not include boreholes deeper than 15 meters as this market is expected to be very limited; note also that nationwide boreholes and wells for communal water provision are covered in the section on water providers.</w:t>
      </w:r>
    </w:p>
  </w:footnote>
  <w:footnote w:id="114">
    <w:p w14:paraId="6535362A"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In absence of data on the breakdown, an assumptions-driven approach, guided by insights from consultations was required.</w:t>
      </w:r>
    </w:p>
  </w:footnote>
  <w:footnote w:id="115">
    <w:p w14:paraId="456BD06F"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small pumping kits are sold as ‘complete solution packages’, which include a pump and the solar system to power the pump (integrated sets). In contrast, component solutions are sales of individual components, such as solar panels, pumps, batteries, inverters etc., which are combined for larger solar pumping systems. </w:t>
      </w:r>
    </w:p>
  </w:footnote>
  <w:footnote w:id="116">
    <w:p w14:paraId="542810BC"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Consultations with Microfinance institutions as well as solar and pump distributors indicated that longer tenors for these loan sizes would not be economically viable, especially under consideration of opportunity costs.</w:t>
      </w:r>
    </w:p>
  </w:footnote>
  <w:footnote w:id="117">
    <w:p w14:paraId="2016D10B" w14:textId="77777777" w:rsidR="00BB3453" w:rsidRPr="002A0FC7" w:rsidRDefault="00BB3453" w:rsidP="008118F2">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Valid data to confirm this expenditure level was not available, and participants of the focus groups could not value this activity as irrigation is performed manually by members of the household.</w:t>
      </w:r>
    </w:p>
  </w:footnote>
  <w:footnote w:id="118">
    <w:p w14:paraId="2ACE36E8" w14:textId="77777777" w:rsidR="00BB3453" w:rsidRPr="002A0FC7" w:rsidRDefault="00BB3453" w:rsidP="004A23A7">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milling ratio of 85% is an assumption; no data available from the Ministry of Agriculture or other sources </w:t>
      </w:r>
    </w:p>
  </w:footnote>
  <w:footnote w:id="119">
    <w:p w14:paraId="441D208C" w14:textId="77777777" w:rsidR="00BB3453" w:rsidRPr="002A0FC7" w:rsidRDefault="00BB3453" w:rsidP="004A23A7">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We group millet, sorghum and maize as they have very similar energy requirements for milling. For further analysis, we focus on the aggregate of these three crops, and sugar cane. Rice is excluded due to its immaterial impact on overall market size.  </w:t>
      </w:r>
    </w:p>
  </w:footnote>
  <w:footnote w:id="120">
    <w:p w14:paraId="2C767287" w14:textId="77777777" w:rsidR="00BB3453" w:rsidRPr="002A0FC7" w:rsidRDefault="00BB3453" w:rsidP="004A23A7">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These market breakdown assumptions were required as no empirical data is available.</w:t>
      </w:r>
    </w:p>
  </w:footnote>
  <w:footnote w:id="121">
    <w:p w14:paraId="7773545A" w14:textId="77777777" w:rsidR="00BB3453" w:rsidRPr="002A0FC7" w:rsidRDefault="00BB3453" w:rsidP="00E60E3D">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Ministère du Développement agricole, </w:t>
      </w:r>
      <w:r w:rsidRPr="002A0FC7">
        <w:rPr>
          <w:rFonts w:cs="Segoe UI"/>
          <w:i/>
          <w:sz w:val="14"/>
          <w:szCs w:val="14"/>
          <w:lang w:val="fr-FR"/>
        </w:rPr>
        <w:t>Annuaire Statistique Du Niger 2010 - 2014 Agriculture, Elevage, Peche et Foret</w:t>
      </w:r>
      <w:r w:rsidRPr="002A0FC7">
        <w:rPr>
          <w:rFonts w:cs="Segoe UI"/>
          <w:sz w:val="14"/>
          <w:szCs w:val="14"/>
          <w:lang w:val="fr-FR"/>
        </w:rPr>
        <w:t>; FAO Agricultural data factbase // FAO Data, available at http://www.fao.org/3/a-bl036e.pdf</w:t>
      </w:r>
    </w:p>
  </w:footnote>
  <w:footnote w:id="122">
    <w:p w14:paraId="1E7803E6" w14:textId="77777777" w:rsidR="00BB3453" w:rsidRPr="002A0FC7" w:rsidRDefault="00BB3453" w:rsidP="00E60E3D">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Newspaper articles have revealed that the construction of a large-scale sugar mill is planned. This mill is projected to process sugar in amounts larger than the current national consumption. It is unclear whether this will lead to production increases to provide necessary supplies, also potentially for exporting, or whether this will lead to a strong geographic centralization of sugar processing (and increasing the power requirement for that location); see: </w:t>
      </w:r>
      <w:r w:rsidRPr="002A0FC7">
        <w:rPr>
          <w:rFonts w:cs="Segoe UI"/>
          <w:i/>
          <w:sz w:val="14"/>
          <w:szCs w:val="14"/>
        </w:rPr>
        <w:t>Une entreprise chinoise envisage d’ouvrir une raffinerie de sucre au Niger</w:t>
      </w:r>
      <w:r w:rsidRPr="002A0FC7">
        <w:rPr>
          <w:rFonts w:cs="Segoe UI"/>
          <w:sz w:val="14"/>
          <w:szCs w:val="14"/>
        </w:rPr>
        <w:t xml:space="preserve"> 31 mars 2012:  http://agritrade.cta.int/fr/Agriculture/Produits-de-base/Sucre/Une-entreprise-chinoise-envisage-d-ouvrir-une-raffinerie-de-sucre-au-Niger</w:t>
      </w:r>
    </w:p>
  </w:footnote>
  <w:footnote w:id="123">
    <w:p w14:paraId="23384E65" w14:textId="77777777" w:rsidR="00BB3453" w:rsidRPr="002A0FC7" w:rsidRDefault="00BB3453" w:rsidP="00545F7A">
      <w:pPr>
        <w:pStyle w:val="FootnoteText"/>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Ministère de l’Hydraulique et de l’Assainissement, </w:t>
      </w:r>
      <w:r w:rsidRPr="002A0FC7">
        <w:rPr>
          <w:rFonts w:cs="Segoe UI"/>
          <w:i/>
          <w:sz w:val="14"/>
          <w:szCs w:val="14"/>
          <w:lang w:val="fr-FR"/>
        </w:rPr>
        <w:t>Rapport Annuel d’Activités du Ministère de l’Hydraulique et de l’Assainissement</w:t>
      </w:r>
      <w:r w:rsidRPr="002A0FC7">
        <w:rPr>
          <w:rFonts w:cs="Segoe UI"/>
          <w:sz w:val="14"/>
          <w:szCs w:val="14"/>
          <w:lang w:val="fr-FR"/>
        </w:rPr>
        <w:t>, 2015</w:t>
      </w:r>
    </w:p>
  </w:footnote>
  <w:footnote w:id="124">
    <w:p w14:paraId="42243DB3" w14:textId="77777777" w:rsidR="00BB3453" w:rsidRPr="002A0FC7" w:rsidRDefault="00BB3453" w:rsidP="00545F7A">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World Bank: Country Development Indicators Database</w:t>
      </w:r>
    </w:p>
  </w:footnote>
  <w:footnote w:id="125">
    <w:p w14:paraId="035FE109" w14:textId="77777777" w:rsidR="00BB3453" w:rsidRPr="002A0FC7" w:rsidRDefault="00BB3453" w:rsidP="00545F7A">
      <w:pPr>
        <w:spacing w:after="0" w:line="240" w:lineRule="auto"/>
        <w:contextualSpacing/>
        <w:rPr>
          <w:rFonts w:cs="Segoe UI"/>
          <w:sz w:val="14"/>
          <w:szCs w:val="14"/>
          <w:lang w:val="fr-FR"/>
        </w:rPr>
      </w:pPr>
      <w:r w:rsidRPr="002A0FC7">
        <w:rPr>
          <w:rStyle w:val="FootnoteReference"/>
          <w:rFonts w:cs="Segoe UI"/>
          <w:sz w:val="14"/>
          <w:szCs w:val="14"/>
        </w:rPr>
        <w:footnoteRef/>
      </w:r>
      <w:r w:rsidRPr="002A0FC7">
        <w:rPr>
          <w:rFonts w:cs="Segoe UI"/>
          <w:sz w:val="14"/>
          <w:szCs w:val="14"/>
          <w:lang w:val="fr-FR"/>
        </w:rPr>
        <w:t xml:space="preserve"> Annual report (</w:t>
      </w:r>
      <w:r w:rsidRPr="002A0FC7">
        <w:rPr>
          <w:rFonts w:cs="Segoe UI"/>
          <w:i/>
          <w:sz w:val="14"/>
          <w:szCs w:val="14"/>
          <w:lang w:val="fr-FR"/>
        </w:rPr>
        <w:t>Rapport Annuel d’Activités du Ministère de l’Hydraulique et de l’Assainissement</w:t>
      </w:r>
      <w:r w:rsidRPr="002A0FC7">
        <w:rPr>
          <w:rFonts w:cs="Segoe UI"/>
          <w:sz w:val="14"/>
          <w:szCs w:val="14"/>
          <w:lang w:val="fr-FR"/>
        </w:rPr>
        <w:t>, Anee 2015)</w:t>
      </w:r>
    </w:p>
  </w:footnote>
  <w:footnote w:id="126">
    <w:p w14:paraId="1048C40E" w14:textId="77777777" w:rsidR="00BB3453" w:rsidRPr="001D6D74" w:rsidRDefault="00BB3453" w:rsidP="00545F7A">
      <w:pPr>
        <w:pStyle w:val="FootnoteText"/>
        <w:contextualSpacing/>
        <w:rPr>
          <w:rFonts w:cs="Segoe UI"/>
          <w:sz w:val="14"/>
          <w:szCs w:val="14"/>
        </w:rPr>
      </w:pPr>
      <w:r w:rsidRPr="002A0FC7">
        <w:rPr>
          <w:rStyle w:val="FootnoteReference"/>
          <w:rFonts w:cs="Segoe UI"/>
          <w:sz w:val="14"/>
          <w:szCs w:val="14"/>
        </w:rPr>
        <w:footnoteRef/>
      </w:r>
      <w:r w:rsidRPr="001D6D74">
        <w:rPr>
          <w:rFonts w:cs="Segoe UI"/>
          <w:sz w:val="14"/>
          <w:szCs w:val="14"/>
        </w:rPr>
        <w:t xml:space="preserve"> Annuaire des Statistiques Regionales 2010-2014, INS Niger 2015 across regions</w:t>
      </w:r>
    </w:p>
  </w:footnote>
  <w:footnote w:id="127">
    <w:p w14:paraId="5295FFE3" w14:textId="77777777" w:rsidR="00BB3453" w:rsidRPr="002A0FC7" w:rsidRDefault="00BB3453" w:rsidP="00545F7A">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In absence of data on how many water pumps are used per water station, we assume that full demand of each water station is served with one pump; the quantity of pumps generally has relatively low impact on electricity needs, and due to the variable calculation methodology, the impact on market size is also immaterial. </w:t>
      </w:r>
    </w:p>
  </w:footnote>
  <w:footnote w:id="128">
    <w:p w14:paraId="5F868726" w14:textId="77777777" w:rsidR="00BB3453" w:rsidRPr="002A0FC7" w:rsidRDefault="00BB3453" w:rsidP="00545F7A">
      <w:pPr>
        <w:pStyle w:val="FootnoteText"/>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process of cleaning and treating river water also involves high energy consumption levels, so that the overall effect on energy demand from excluding river pumping is unlikely to be material. Further research, outside the scope of this report, would be required to develop a more accurate market size considering all the different water sources, variations in borehole depth etc.</w:t>
      </w:r>
    </w:p>
  </w:footnote>
  <w:footnote w:id="129">
    <w:p w14:paraId="46FB94EC" w14:textId="77777777" w:rsidR="00BB3453" w:rsidRPr="002A0FC7" w:rsidRDefault="00BB3453" w:rsidP="00545F7A">
      <w:pPr>
        <w:spacing w:after="0" w:line="240" w:lineRule="auto"/>
        <w:contextualSpacing/>
        <w:rPr>
          <w:rFonts w:cs="Segoe UI"/>
          <w:sz w:val="14"/>
          <w:szCs w:val="14"/>
        </w:rPr>
      </w:pPr>
      <w:r w:rsidRPr="002A0FC7">
        <w:rPr>
          <w:rStyle w:val="FootnoteReference"/>
          <w:rFonts w:cs="Segoe UI"/>
          <w:sz w:val="14"/>
          <w:szCs w:val="14"/>
        </w:rPr>
        <w:footnoteRef/>
      </w:r>
      <w:r w:rsidRPr="002A0FC7">
        <w:rPr>
          <w:rFonts w:cs="Segoe UI"/>
          <w:sz w:val="14"/>
          <w:szCs w:val="14"/>
        </w:rPr>
        <w:t xml:space="preserve"> The analysis assumes there is no overlap between urban and rural water provision, and that the whole the population of Niger sources water from one of the 6 water provider types described in the analysis, and not from alternative sources such as stored rainwater, reservoirs, water-pans and rivers, and that all the water points enumerated by the Ministry of Hydraulics and Sanitation and the National Institute of Statistics (data sets which the analysis relies on) are functional.</w:t>
      </w:r>
    </w:p>
    <w:p w14:paraId="3C8CEC97" w14:textId="77777777" w:rsidR="00BB3453" w:rsidRPr="002A0FC7" w:rsidRDefault="00BB3453" w:rsidP="00545F7A">
      <w:pPr>
        <w:pStyle w:val="FootnoteText"/>
        <w:contextualSpacing/>
        <w:rPr>
          <w:rFonts w:cs="Segoe UI"/>
          <w:sz w:val="14"/>
          <w:szCs w:val="14"/>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D4944D" w14:textId="77777777" w:rsidR="00BB3453" w:rsidRDefault="00E1202C">
    <w:pPr>
      <w:pStyle w:val="Header"/>
    </w:pPr>
    <w:r>
      <w:rPr>
        <w:noProof/>
      </w:rPr>
      <w:pict w14:anchorId="7095796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349.5pt;height:117pt;rotation:315;z-index:-251645952;mso-position-horizontal:center;mso-position-horizontal-relative:margin;mso-position-vertical:center;mso-position-vertical-relative:margin" o:allowincell="f" fillcolor="#d8d8d8 [2732]" stroked="f">
          <v:fill opacity=".5"/>
          <v:textpath style="font-family:&quot;Arial&quot;;font-size:105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9659E6" w14:textId="58346678" w:rsidR="00BB3453" w:rsidRPr="001C4910" w:rsidRDefault="00BB3453" w:rsidP="0062340C">
    <w:pPr>
      <w:pStyle w:val="Header"/>
      <w:jc w:val="center"/>
      <w:rPr>
        <w:rFonts w:cs="Segoe UI"/>
        <w:color w:val="A6A6A6" w:themeColor="background1" w:themeShade="A6"/>
      </w:rPr>
    </w:pPr>
    <w:r w:rsidRPr="001C4910">
      <w:rPr>
        <w:rFonts w:cs="Segoe UI"/>
        <w:color w:val="A6A6A6" w:themeColor="background1" w:themeShade="A6"/>
      </w:rPr>
      <w:t>Open Capital Advisors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ACEECA" w14:textId="77777777" w:rsidR="00BB3453" w:rsidRPr="00844834" w:rsidRDefault="00BB3453" w:rsidP="00682F30">
    <w:pPr>
      <w:pStyle w:val="Header"/>
      <w:jc w:val="center"/>
      <w:rPr>
        <w:rFonts w:cs="Segoe UI"/>
        <w:color w:val="A6A6A6" w:themeColor="background1" w:themeShade="A6"/>
      </w:rPr>
    </w:pPr>
    <w:r w:rsidRPr="001C4910">
      <w:rPr>
        <w:rFonts w:cs="Segoe UI"/>
        <w:color w:val="A6A6A6" w:themeColor="background1" w:themeShade="A6"/>
      </w:rPr>
      <w:t>Open Capital Advisors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4F9E92" w14:textId="77777777" w:rsidR="00BB3453" w:rsidRDefault="00E1202C">
    <w:pPr>
      <w:pStyle w:val="Header"/>
    </w:pPr>
    <w:r>
      <w:rPr>
        <w:noProof/>
      </w:rPr>
      <w:pict w14:anchorId="78F4C37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25658" o:spid="_x0000_s2050" type="#_x0000_t136" style="position:absolute;margin-left:0;margin-top:0;width:349.5pt;height:117pt;rotation:315;z-index:-251655168;mso-position-horizontal:center;mso-position-horizontal-relative:margin;mso-position-vertical:center;mso-position-vertical-relative:margin" o:allowincell="f" fillcolor="#d8d8d8 [2732]" stroked="f">
          <v:fill opacity=".5"/>
          <v:textpath style="font-family:&quot;Arial&quot;;font-size:105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97518BE" w14:textId="140C7C78" w:rsidR="00BB3453" w:rsidRPr="001C4910" w:rsidRDefault="00BB3453" w:rsidP="0062340C">
    <w:pPr>
      <w:pStyle w:val="Header"/>
      <w:jc w:val="center"/>
      <w:rPr>
        <w:rFonts w:cs="Segoe UI"/>
        <w:color w:val="A6A6A6" w:themeColor="background1" w:themeShade="A6"/>
      </w:rPr>
    </w:pPr>
    <w:r w:rsidRPr="001C4910">
      <w:rPr>
        <w:rFonts w:cs="Segoe UI"/>
        <w:color w:val="A6A6A6" w:themeColor="background1" w:themeShade="A6"/>
      </w:rPr>
      <w:t>Open Capital Advisors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9255B0" w14:textId="141975E5" w:rsidR="00BB3453" w:rsidRPr="00844834" w:rsidRDefault="00BB3453" w:rsidP="00682F30">
    <w:pPr>
      <w:pStyle w:val="Header"/>
      <w:jc w:val="center"/>
      <w:rPr>
        <w:rFonts w:cs="Segoe UI"/>
        <w:color w:val="A6A6A6" w:themeColor="background1" w:themeShade="A6"/>
      </w:rPr>
    </w:pPr>
    <w:r w:rsidRPr="001C4910">
      <w:rPr>
        <w:rFonts w:cs="Segoe UI"/>
        <w:color w:val="A6A6A6" w:themeColor="background1" w:themeShade="A6"/>
      </w:rPr>
      <w:t>Open Capital Advisors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1A34"/>
    <w:multiLevelType w:val="hybridMultilevel"/>
    <w:tmpl w:val="BFEE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E5DB2"/>
    <w:multiLevelType w:val="hybridMultilevel"/>
    <w:tmpl w:val="6F8E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7684B"/>
    <w:multiLevelType w:val="hybridMultilevel"/>
    <w:tmpl w:val="F4DC24E0"/>
    <w:lvl w:ilvl="0" w:tplc="486494D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ECB2225"/>
    <w:multiLevelType w:val="hybridMultilevel"/>
    <w:tmpl w:val="38E4F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C5C49"/>
    <w:multiLevelType w:val="hybridMultilevel"/>
    <w:tmpl w:val="3BEC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A3D61"/>
    <w:multiLevelType w:val="hybridMultilevel"/>
    <w:tmpl w:val="D25E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A67FF"/>
    <w:multiLevelType w:val="hybridMultilevel"/>
    <w:tmpl w:val="FE28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E62B1"/>
    <w:multiLevelType w:val="hybridMultilevel"/>
    <w:tmpl w:val="4FB8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D277E"/>
    <w:multiLevelType w:val="multilevel"/>
    <w:tmpl w:val="69E03282"/>
    <w:styleLink w:val="NEWreportListStyle"/>
    <w:lvl w:ilvl="0">
      <w:start w:val="1"/>
      <w:numFmt w:val="decimal"/>
      <w:pStyle w:val="H1NEWreportStyle"/>
      <w:lvlText w:val="%1"/>
      <w:lvlJc w:val="left"/>
      <w:pPr>
        <w:ind w:left="576" w:hanging="576"/>
      </w:pPr>
      <w:rPr>
        <w:rFonts w:hint="default"/>
      </w:rPr>
    </w:lvl>
    <w:lvl w:ilvl="1">
      <w:start w:val="1"/>
      <w:numFmt w:val="decimal"/>
      <w:pStyle w:val="H2NEWreportStyle"/>
      <w:lvlText w:val="%1.%2"/>
      <w:lvlJc w:val="left"/>
      <w:pPr>
        <w:ind w:left="936" w:hanging="792"/>
      </w:pPr>
      <w:rPr>
        <w:rFonts w:hint="default"/>
      </w:rPr>
    </w:lvl>
    <w:lvl w:ilvl="2">
      <w:start w:val="1"/>
      <w:numFmt w:val="decimal"/>
      <w:pStyle w:val="H3NEWreportStyle"/>
      <w:lvlText w:val="%1.%2.%3"/>
      <w:lvlJc w:val="left"/>
      <w:pPr>
        <w:ind w:left="1152" w:hanging="864"/>
      </w:pPr>
      <w:rPr>
        <w:rFonts w:hint="default"/>
      </w:rPr>
    </w:lvl>
    <w:lvl w:ilvl="3">
      <w:start w:val="1"/>
      <w:numFmt w:val="none"/>
      <w:lvlRestart w:val="0"/>
      <w:pStyle w:val="H4NEWreportStyle"/>
      <w:lvlText w:val=""/>
      <w:lvlJc w:val="left"/>
      <w:pPr>
        <w:ind w:left="0" w:firstLine="0"/>
      </w:pPr>
      <w:rPr>
        <w:rFonts w:hint="default"/>
      </w:rPr>
    </w:lvl>
    <w:lvl w:ilvl="4">
      <w:start w:val="1"/>
      <w:numFmt w:val="none"/>
      <w:isLgl/>
      <w:lvlText w:val=""/>
      <w:lvlJc w:val="left"/>
      <w:pPr>
        <w:ind w:left="1584" w:hanging="432"/>
      </w:pPr>
      <w:rPr>
        <w:rFonts w:hint="default"/>
      </w:rPr>
    </w:lvl>
    <w:lvl w:ilvl="5">
      <w:start w:val="1"/>
      <w:numFmt w:val="none"/>
      <w:isLgl/>
      <w:lvlText w:val=""/>
      <w:lvlJc w:val="left"/>
      <w:pPr>
        <w:ind w:left="1872" w:hanging="432"/>
      </w:pPr>
      <w:rPr>
        <w:rFonts w:hint="default"/>
      </w:rPr>
    </w:lvl>
    <w:lvl w:ilvl="6">
      <w:start w:val="1"/>
      <w:numFmt w:val="none"/>
      <w:isLgl/>
      <w:lvlText w:val=""/>
      <w:lvlJc w:val="left"/>
      <w:pPr>
        <w:ind w:left="2160" w:hanging="432"/>
      </w:pPr>
      <w:rPr>
        <w:rFonts w:hint="default"/>
      </w:rPr>
    </w:lvl>
    <w:lvl w:ilvl="7">
      <w:start w:val="1"/>
      <w:numFmt w:val="none"/>
      <w:isLgl/>
      <w:lvlText w:val=""/>
      <w:lvlJc w:val="left"/>
      <w:pPr>
        <w:ind w:left="2448" w:hanging="432"/>
      </w:pPr>
      <w:rPr>
        <w:rFonts w:hint="default"/>
      </w:rPr>
    </w:lvl>
    <w:lvl w:ilvl="8">
      <w:start w:val="1"/>
      <w:numFmt w:val="none"/>
      <w:isLgl/>
      <w:lvlText w:val=""/>
      <w:lvlJc w:val="left"/>
      <w:pPr>
        <w:ind w:left="2736" w:hanging="432"/>
      </w:pPr>
      <w:rPr>
        <w:rFonts w:hint="default"/>
      </w:rPr>
    </w:lvl>
  </w:abstractNum>
  <w:abstractNum w:abstractNumId="9">
    <w:nsid w:val="1C341E97"/>
    <w:multiLevelType w:val="hybridMultilevel"/>
    <w:tmpl w:val="809A0142"/>
    <w:lvl w:ilvl="0" w:tplc="8DBA8D06">
      <w:start w:val="1"/>
      <w:numFmt w:val="lowerRoman"/>
      <w:lvlText w:val="%1)"/>
      <w:lvlJc w:val="righ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nsid w:val="214A53FA"/>
    <w:multiLevelType w:val="hybridMultilevel"/>
    <w:tmpl w:val="4FB8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A1D1F"/>
    <w:multiLevelType w:val="hybridMultilevel"/>
    <w:tmpl w:val="C8587F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2211732"/>
    <w:multiLevelType w:val="hybridMultilevel"/>
    <w:tmpl w:val="FC2C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F5EFE"/>
    <w:multiLevelType w:val="hybridMultilevel"/>
    <w:tmpl w:val="F446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E512D"/>
    <w:multiLevelType w:val="hybridMultilevel"/>
    <w:tmpl w:val="09AA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12A87"/>
    <w:multiLevelType w:val="hybridMultilevel"/>
    <w:tmpl w:val="3510FF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3117D"/>
    <w:multiLevelType w:val="hybridMultilevel"/>
    <w:tmpl w:val="2B72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21304D"/>
    <w:multiLevelType w:val="hybridMultilevel"/>
    <w:tmpl w:val="6A5494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84899"/>
    <w:multiLevelType w:val="hybridMultilevel"/>
    <w:tmpl w:val="B998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B4DCE"/>
    <w:multiLevelType w:val="hybridMultilevel"/>
    <w:tmpl w:val="45B6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58351D"/>
    <w:multiLevelType w:val="hybridMultilevel"/>
    <w:tmpl w:val="D48EE68E"/>
    <w:lvl w:ilvl="0" w:tplc="0409000F">
      <w:start w:val="1"/>
      <w:numFmt w:val="decimal"/>
      <w:lvlText w:val="%1."/>
      <w:lvlJc w:val="left"/>
      <w:pPr>
        <w:ind w:left="720" w:hanging="360"/>
      </w:pPr>
      <w:rPr>
        <w:rFonts w:hint="default"/>
      </w:rPr>
    </w:lvl>
    <w:lvl w:ilvl="1" w:tplc="8DBA8D06">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A53B26"/>
    <w:multiLevelType w:val="hybridMultilevel"/>
    <w:tmpl w:val="B7D8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487C3D"/>
    <w:multiLevelType w:val="hybridMultilevel"/>
    <w:tmpl w:val="201E6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9F72D1"/>
    <w:multiLevelType w:val="hybridMultilevel"/>
    <w:tmpl w:val="2656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E11F8A"/>
    <w:multiLevelType w:val="hybridMultilevel"/>
    <w:tmpl w:val="6BBC80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62461"/>
    <w:multiLevelType w:val="hybridMultilevel"/>
    <w:tmpl w:val="C8DE6098"/>
    <w:lvl w:ilvl="0" w:tplc="8DBA8D06">
      <w:start w:val="1"/>
      <w:numFmt w:val="lowerRoman"/>
      <w:lvlText w:val="%1)"/>
      <w:lvlJc w:val="righ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6">
    <w:nsid w:val="4C6B5FAD"/>
    <w:multiLevelType w:val="hybridMultilevel"/>
    <w:tmpl w:val="F4DC24E0"/>
    <w:lvl w:ilvl="0" w:tplc="486494D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4FCB6FD4"/>
    <w:multiLevelType w:val="hybridMultilevel"/>
    <w:tmpl w:val="AE02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8774E6"/>
    <w:multiLevelType w:val="hybridMultilevel"/>
    <w:tmpl w:val="F568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721530"/>
    <w:multiLevelType w:val="hybridMultilevel"/>
    <w:tmpl w:val="EC62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AC0050"/>
    <w:multiLevelType w:val="hybridMultilevel"/>
    <w:tmpl w:val="F058201C"/>
    <w:lvl w:ilvl="0" w:tplc="0409000F">
      <w:start w:val="1"/>
      <w:numFmt w:val="decimal"/>
      <w:lvlText w:val="%1."/>
      <w:lvlJc w:val="left"/>
      <w:pPr>
        <w:ind w:left="720" w:hanging="360"/>
      </w:pPr>
      <w:rPr>
        <w:rFonts w:hint="default"/>
      </w:rPr>
    </w:lvl>
    <w:lvl w:ilvl="1" w:tplc="547EBB86">
      <w:start w:val="1"/>
      <w:numFmt w:val="lowerRoman"/>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3D2031"/>
    <w:multiLevelType w:val="hybridMultilevel"/>
    <w:tmpl w:val="48FE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134590"/>
    <w:multiLevelType w:val="hybridMultilevel"/>
    <w:tmpl w:val="E7BCA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1B2618"/>
    <w:multiLevelType w:val="hybridMultilevel"/>
    <w:tmpl w:val="3F5E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94F71"/>
    <w:multiLevelType w:val="hybridMultilevel"/>
    <w:tmpl w:val="CF9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B65D8D"/>
    <w:multiLevelType w:val="hybridMultilevel"/>
    <w:tmpl w:val="A3101F2C"/>
    <w:lvl w:ilvl="0" w:tplc="8DBA8D06">
      <w:start w:val="1"/>
      <w:numFmt w:val="lowerRoman"/>
      <w:lvlText w:val="%1)"/>
      <w:lvlJc w:val="right"/>
      <w:pPr>
        <w:ind w:left="720" w:hanging="360"/>
      </w:pPr>
      <w:rPr>
        <w:rFonts w:hint="default"/>
      </w:rPr>
    </w:lvl>
    <w:lvl w:ilvl="1" w:tplc="8DBA8D06">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6F2E7F"/>
    <w:multiLevelType w:val="hybridMultilevel"/>
    <w:tmpl w:val="D9506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C231D"/>
    <w:multiLevelType w:val="hybridMultilevel"/>
    <w:tmpl w:val="E7BCA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88080D"/>
    <w:multiLevelType w:val="hybridMultilevel"/>
    <w:tmpl w:val="CFACB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951320"/>
    <w:multiLevelType w:val="hybridMultilevel"/>
    <w:tmpl w:val="E1DA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9E095D"/>
    <w:multiLevelType w:val="hybridMultilevel"/>
    <w:tmpl w:val="3C840338"/>
    <w:lvl w:ilvl="0" w:tplc="9528C22A">
      <w:numFmt w:val="bullet"/>
      <w:lvlText w:val="•"/>
      <w:lvlJc w:val="left"/>
      <w:pPr>
        <w:ind w:left="108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DC2B3B"/>
    <w:multiLevelType w:val="hybridMultilevel"/>
    <w:tmpl w:val="2FF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0"/>
  </w:num>
  <w:num w:numId="4">
    <w:abstractNumId w:val="12"/>
  </w:num>
  <w:num w:numId="5">
    <w:abstractNumId w:val="3"/>
  </w:num>
  <w:num w:numId="6">
    <w:abstractNumId w:val="6"/>
  </w:num>
  <w:num w:numId="7">
    <w:abstractNumId w:val="23"/>
  </w:num>
  <w:num w:numId="8">
    <w:abstractNumId w:val="1"/>
  </w:num>
  <w:num w:numId="9">
    <w:abstractNumId w:val="27"/>
  </w:num>
  <w:num w:numId="10">
    <w:abstractNumId w:val="17"/>
  </w:num>
  <w:num w:numId="11">
    <w:abstractNumId w:val="7"/>
  </w:num>
  <w:num w:numId="12">
    <w:abstractNumId w:val="37"/>
  </w:num>
  <w:num w:numId="13">
    <w:abstractNumId w:val="16"/>
  </w:num>
  <w:num w:numId="14">
    <w:abstractNumId w:val="5"/>
  </w:num>
  <w:num w:numId="15">
    <w:abstractNumId w:val="29"/>
  </w:num>
  <w:num w:numId="16">
    <w:abstractNumId w:val="38"/>
  </w:num>
  <w:num w:numId="17">
    <w:abstractNumId w:val="14"/>
  </w:num>
  <w:num w:numId="18">
    <w:abstractNumId w:val="11"/>
  </w:num>
  <w:num w:numId="19">
    <w:abstractNumId w:val="4"/>
  </w:num>
  <w:num w:numId="20">
    <w:abstractNumId w:val="41"/>
  </w:num>
  <w:num w:numId="21">
    <w:abstractNumId w:val="34"/>
  </w:num>
  <w:num w:numId="22">
    <w:abstractNumId w:val="40"/>
  </w:num>
  <w:num w:numId="23">
    <w:abstractNumId w:val="8"/>
  </w:num>
  <w:num w:numId="24">
    <w:abstractNumId w:val="24"/>
  </w:num>
  <w:num w:numId="25">
    <w:abstractNumId w:val="15"/>
  </w:num>
  <w:num w:numId="26">
    <w:abstractNumId w:val="9"/>
  </w:num>
  <w:num w:numId="27">
    <w:abstractNumId w:val="35"/>
  </w:num>
  <w:num w:numId="28">
    <w:abstractNumId w:val="25"/>
  </w:num>
  <w:num w:numId="29">
    <w:abstractNumId w:val="39"/>
  </w:num>
  <w:num w:numId="30">
    <w:abstractNumId w:val="18"/>
  </w:num>
  <w:num w:numId="31">
    <w:abstractNumId w:val="0"/>
  </w:num>
  <w:num w:numId="32">
    <w:abstractNumId w:val="28"/>
  </w:num>
  <w:num w:numId="33">
    <w:abstractNumId w:val="13"/>
  </w:num>
  <w:num w:numId="34">
    <w:abstractNumId w:val="19"/>
  </w:num>
  <w:num w:numId="35">
    <w:abstractNumId w:val="21"/>
  </w:num>
  <w:num w:numId="36">
    <w:abstractNumId w:val="31"/>
  </w:num>
  <w:num w:numId="37">
    <w:abstractNumId w:val="33"/>
  </w:num>
  <w:num w:numId="38">
    <w:abstractNumId w:val="10"/>
  </w:num>
  <w:num w:numId="39">
    <w:abstractNumId w:val="2"/>
  </w:num>
  <w:num w:numId="40">
    <w:abstractNumId w:val="26"/>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F9D"/>
    <w:rsid w:val="00000141"/>
    <w:rsid w:val="0000036E"/>
    <w:rsid w:val="00000F24"/>
    <w:rsid w:val="00000FE9"/>
    <w:rsid w:val="0000108D"/>
    <w:rsid w:val="000011D5"/>
    <w:rsid w:val="00001C96"/>
    <w:rsid w:val="00001EA5"/>
    <w:rsid w:val="00001EE0"/>
    <w:rsid w:val="0000206E"/>
    <w:rsid w:val="00002C0F"/>
    <w:rsid w:val="000032C5"/>
    <w:rsid w:val="000038EB"/>
    <w:rsid w:val="00003C3B"/>
    <w:rsid w:val="00004141"/>
    <w:rsid w:val="0000432C"/>
    <w:rsid w:val="000043A5"/>
    <w:rsid w:val="000045F6"/>
    <w:rsid w:val="0000473A"/>
    <w:rsid w:val="00004778"/>
    <w:rsid w:val="00004BF5"/>
    <w:rsid w:val="00005349"/>
    <w:rsid w:val="00005B87"/>
    <w:rsid w:val="000061A1"/>
    <w:rsid w:val="00007257"/>
    <w:rsid w:val="0001007C"/>
    <w:rsid w:val="00010169"/>
    <w:rsid w:val="00010ECD"/>
    <w:rsid w:val="00011281"/>
    <w:rsid w:val="000116A9"/>
    <w:rsid w:val="00011DE9"/>
    <w:rsid w:val="00011E61"/>
    <w:rsid w:val="0001219D"/>
    <w:rsid w:val="00012693"/>
    <w:rsid w:val="000127DF"/>
    <w:rsid w:val="000129EE"/>
    <w:rsid w:val="00012A4A"/>
    <w:rsid w:val="00012C6F"/>
    <w:rsid w:val="00012EDE"/>
    <w:rsid w:val="00013541"/>
    <w:rsid w:val="0001393A"/>
    <w:rsid w:val="0001397F"/>
    <w:rsid w:val="00013BC3"/>
    <w:rsid w:val="00013F0F"/>
    <w:rsid w:val="000145DC"/>
    <w:rsid w:val="000146FB"/>
    <w:rsid w:val="00014A02"/>
    <w:rsid w:val="00014B9C"/>
    <w:rsid w:val="00014E5C"/>
    <w:rsid w:val="000150F8"/>
    <w:rsid w:val="000155D0"/>
    <w:rsid w:val="0001636D"/>
    <w:rsid w:val="00016EC4"/>
    <w:rsid w:val="000172A7"/>
    <w:rsid w:val="0002000D"/>
    <w:rsid w:val="000207FB"/>
    <w:rsid w:val="0002124A"/>
    <w:rsid w:val="00021A90"/>
    <w:rsid w:val="00022A8B"/>
    <w:rsid w:val="00022CA9"/>
    <w:rsid w:val="0002329E"/>
    <w:rsid w:val="00023E23"/>
    <w:rsid w:val="00023E4B"/>
    <w:rsid w:val="00024000"/>
    <w:rsid w:val="0002445F"/>
    <w:rsid w:val="00024BF0"/>
    <w:rsid w:val="00024CC2"/>
    <w:rsid w:val="000255A5"/>
    <w:rsid w:val="00025A2E"/>
    <w:rsid w:val="00025DD9"/>
    <w:rsid w:val="00025E90"/>
    <w:rsid w:val="0002618E"/>
    <w:rsid w:val="000261D8"/>
    <w:rsid w:val="00026C7C"/>
    <w:rsid w:val="00026E2B"/>
    <w:rsid w:val="00026F5F"/>
    <w:rsid w:val="000279AB"/>
    <w:rsid w:val="00027C3A"/>
    <w:rsid w:val="00027CB2"/>
    <w:rsid w:val="00030071"/>
    <w:rsid w:val="0003071B"/>
    <w:rsid w:val="00030826"/>
    <w:rsid w:val="00030FBA"/>
    <w:rsid w:val="000314D7"/>
    <w:rsid w:val="00031BBC"/>
    <w:rsid w:val="00031CA4"/>
    <w:rsid w:val="000322B8"/>
    <w:rsid w:val="00033280"/>
    <w:rsid w:val="0003427E"/>
    <w:rsid w:val="000343A5"/>
    <w:rsid w:val="000346B8"/>
    <w:rsid w:val="00034B9D"/>
    <w:rsid w:val="00035AF2"/>
    <w:rsid w:val="00035F37"/>
    <w:rsid w:val="000361FF"/>
    <w:rsid w:val="00036379"/>
    <w:rsid w:val="0003676A"/>
    <w:rsid w:val="00036956"/>
    <w:rsid w:val="0003696B"/>
    <w:rsid w:val="000369FF"/>
    <w:rsid w:val="00036B7C"/>
    <w:rsid w:val="000373A7"/>
    <w:rsid w:val="0003740F"/>
    <w:rsid w:val="000379C7"/>
    <w:rsid w:val="00037EF5"/>
    <w:rsid w:val="00040362"/>
    <w:rsid w:val="000405CE"/>
    <w:rsid w:val="00040BD3"/>
    <w:rsid w:val="00040DD3"/>
    <w:rsid w:val="00041008"/>
    <w:rsid w:val="0004124A"/>
    <w:rsid w:val="00041264"/>
    <w:rsid w:val="000415EC"/>
    <w:rsid w:val="00041941"/>
    <w:rsid w:val="00041CDE"/>
    <w:rsid w:val="000420E2"/>
    <w:rsid w:val="0004229A"/>
    <w:rsid w:val="0004273A"/>
    <w:rsid w:val="000431D0"/>
    <w:rsid w:val="000433CD"/>
    <w:rsid w:val="00044E1D"/>
    <w:rsid w:val="00044FCC"/>
    <w:rsid w:val="000453EE"/>
    <w:rsid w:val="00045AE5"/>
    <w:rsid w:val="00045BE2"/>
    <w:rsid w:val="00045E31"/>
    <w:rsid w:val="00045F4B"/>
    <w:rsid w:val="00045F5D"/>
    <w:rsid w:val="00047B02"/>
    <w:rsid w:val="00047BF7"/>
    <w:rsid w:val="00047E42"/>
    <w:rsid w:val="00050042"/>
    <w:rsid w:val="00050409"/>
    <w:rsid w:val="000505C4"/>
    <w:rsid w:val="00051672"/>
    <w:rsid w:val="00051821"/>
    <w:rsid w:val="0005194E"/>
    <w:rsid w:val="0005195E"/>
    <w:rsid w:val="00051A66"/>
    <w:rsid w:val="00052CF5"/>
    <w:rsid w:val="00052F45"/>
    <w:rsid w:val="00053301"/>
    <w:rsid w:val="0005343D"/>
    <w:rsid w:val="00053A53"/>
    <w:rsid w:val="00053C4C"/>
    <w:rsid w:val="00054023"/>
    <w:rsid w:val="00054C6E"/>
    <w:rsid w:val="00054C90"/>
    <w:rsid w:val="00054E46"/>
    <w:rsid w:val="000553C9"/>
    <w:rsid w:val="00056295"/>
    <w:rsid w:val="000567FA"/>
    <w:rsid w:val="00057420"/>
    <w:rsid w:val="00057929"/>
    <w:rsid w:val="00057F24"/>
    <w:rsid w:val="00057F28"/>
    <w:rsid w:val="00057F4B"/>
    <w:rsid w:val="00060017"/>
    <w:rsid w:val="00060082"/>
    <w:rsid w:val="00060582"/>
    <w:rsid w:val="00060D8C"/>
    <w:rsid w:val="00060DEB"/>
    <w:rsid w:val="00061787"/>
    <w:rsid w:val="00062715"/>
    <w:rsid w:val="00062AE6"/>
    <w:rsid w:val="000632D1"/>
    <w:rsid w:val="0006416F"/>
    <w:rsid w:val="00064A77"/>
    <w:rsid w:val="00064ABA"/>
    <w:rsid w:val="0006553E"/>
    <w:rsid w:val="000657A3"/>
    <w:rsid w:val="00065BA9"/>
    <w:rsid w:val="00065D04"/>
    <w:rsid w:val="000664FA"/>
    <w:rsid w:val="0006662C"/>
    <w:rsid w:val="00067498"/>
    <w:rsid w:val="00067B4E"/>
    <w:rsid w:val="00067D55"/>
    <w:rsid w:val="00067D79"/>
    <w:rsid w:val="00067F93"/>
    <w:rsid w:val="00070608"/>
    <w:rsid w:val="000706F8"/>
    <w:rsid w:val="00070863"/>
    <w:rsid w:val="000708C2"/>
    <w:rsid w:val="00071ED4"/>
    <w:rsid w:val="00072251"/>
    <w:rsid w:val="0007262D"/>
    <w:rsid w:val="00073689"/>
    <w:rsid w:val="000748F8"/>
    <w:rsid w:val="00075B32"/>
    <w:rsid w:val="00076C10"/>
    <w:rsid w:val="000771B1"/>
    <w:rsid w:val="0007735C"/>
    <w:rsid w:val="00077796"/>
    <w:rsid w:val="00077A00"/>
    <w:rsid w:val="00077A81"/>
    <w:rsid w:val="00077AF7"/>
    <w:rsid w:val="00077C3C"/>
    <w:rsid w:val="00077E23"/>
    <w:rsid w:val="00080255"/>
    <w:rsid w:val="000803E9"/>
    <w:rsid w:val="000808DB"/>
    <w:rsid w:val="00081244"/>
    <w:rsid w:val="00081494"/>
    <w:rsid w:val="00082715"/>
    <w:rsid w:val="00082990"/>
    <w:rsid w:val="00082D3F"/>
    <w:rsid w:val="00083197"/>
    <w:rsid w:val="00083AF7"/>
    <w:rsid w:val="00084466"/>
    <w:rsid w:val="00084635"/>
    <w:rsid w:val="000849C8"/>
    <w:rsid w:val="00084B51"/>
    <w:rsid w:val="00084BE3"/>
    <w:rsid w:val="00085BD5"/>
    <w:rsid w:val="000861E1"/>
    <w:rsid w:val="0008664A"/>
    <w:rsid w:val="00086723"/>
    <w:rsid w:val="000869CA"/>
    <w:rsid w:val="00086A2D"/>
    <w:rsid w:val="000871B5"/>
    <w:rsid w:val="0008745A"/>
    <w:rsid w:val="0009084F"/>
    <w:rsid w:val="000908C7"/>
    <w:rsid w:val="00090E3C"/>
    <w:rsid w:val="00090E44"/>
    <w:rsid w:val="00091288"/>
    <w:rsid w:val="000912CC"/>
    <w:rsid w:val="000915FD"/>
    <w:rsid w:val="0009190F"/>
    <w:rsid w:val="00091BC5"/>
    <w:rsid w:val="00091C3D"/>
    <w:rsid w:val="00091F5A"/>
    <w:rsid w:val="00091FE0"/>
    <w:rsid w:val="00091FF4"/>
    <w:rsid w:val="0009274D"/>
    <w:rsid w:val="00092C43"/>
    <w:rsid w:val="00092DB7"/>
    <w:rsid w:val="0009394D"/>
    <w:rsid w:val="00093CAD"/>
    <w:rsid w:val="00094616"/>
    <w:rsid w:val="000946EE"/>
    <w:rsid w:val="00094CA2"/>
    <w:rsid w:val="00094D38"/>
    <w:rsid w:val="00094E83"/>
    <w:rsid w:val="000951F2"/>
    <w:rsid w:val="00095AF8"/>
    <w:rsid w:val="00095CE7"/>
    <w:rsid w:val="000962CE"/>
    <w:rsid w:val="00096AA4"/>
    <w:rsid w:val="00096CBA"/>
    <w:rsid w:val="000976A9"/>
    <w:rsid w:val="000A034B"/>
    <w:rsid w:val="000A0EC3"/>
    <w:rsid w:val="000A135E"/>
    <w:rsid w:val="000A1463"/>
    <w:rsid w:val="000A19BA"/>
    <w:rsid w:val="000A1B03"/>
    <w:rsid w:val="000A1C8B"/>
    <w:rsid w:val="000A1CED"/>
    <w:rsid w:val="000A2096"/>
    <w:rsid w:val="000A20F6"/>
    <w:rsid w:val="000A2234"/>
    <w:rsid w:val="000A2614"/>
    <w:rsid w:val="000A2627"/>
    <w:rsid w:val="000A270D"/>
    <w:rsid w:val="000A2791"/>
    <w:rsid w:val="000A2B4A"/>
    <w:rsid w:val="000A2E48"/>
    <w:rsid w:val="000A2F17"/>
    <w:rsid w:val="000A3E8B"/>
    <w:rsid w:val="000A4320"/>
    <w:rsid w:val="000A5277"/>
    <w:rsid w:val="000A554A"/>
    <w:rsid w:val="000A55BC"/>
    <w:rsid w:val="000A56C6"/>
    <w:rsid w:val="000A57F4"/>
    <w:rsid w:val="000A66D6"/>
    <w:rsid w:val="000A6733"/>
    <w:rsid w:val="000A70FF"/>
    <w:rsid w:val="000A7CBD"/>
    <w:rsid w:val="000A7E26"/>
    <w:rsid w:val="000A7FD6"/>
    <w:rsid w:val="000B03FC"/>
    <w:rsid w:val="000B0CA5"/>
    <w:rsid w:val="000B1473"/>
    <w:rsid w:val="000B1FB0"/>
    <w:rsid w:val="000B2CEC"/>
    <w:rsid w:val="000B2ED3"/>
    <w:rsid w:val="000B334E"/>
    <w:rsid w:val="000B3377"/>
    <w:rsid w:val="000B4C0C"/>
    <w:rsid w:val="000B4F5E"/>
    <w:rsid w:val="000B5EB2"/>
    <w:rsid w:val="000B63D0"/>
    <w:rsid w:val="000B673D"/>
    <w:rsid w:val="000B6F38"/>
    <w:rsid w:val="000B70F4"/>
    <w:rsid w:val="000B76AE"/>
    <w:rsid w:val="000B7C29"/>
    <w:rsid w:val="000B7F2B"/>
    <w:rsid w:val="000C019D"/>
    <w:rsid w:val="000C0456"/>
    <w:rsid w:val="000C10E2"/>
    <w:rsid w:val="000C1B55"/>
    <w:rsid w:val="000C1DDA"/>
    <w:rsid w:val="000C1F56"/>
    <w:rsid w:val="000C2127"/>
    <w:rsid w:val="000C3653"/>
    <w:rsid w:val="000C3759"/>
    <w:rsid w:val="000C394D"/>
    <w:rsid w:val="000C3B6D"/>
    <w:rsid w:val="000C3BF5"/>
    <w:rsid w:val="000C4070"/>
    <w:rsid w:val="000C4803"/>
    <w:rsid w:val="000C4C89"/>
    <w:rsid w:val="000C5006"/>
    <w:rsid w:val="000C50ED"/>
    <w:rsid w:val="000C5110"/>
    <w:rsid w:val="000C537C"/>
    <w:rsid w:val="000C564E"/>
    <w:rsid w:val="000C5FC5"/>
    <w:rsid w:val="000C6654"/>
    <w:rsid w:val="000C679A"/>
    <w:rsid w:val="000C7025"/>
    <w:rsid w:val="000C734C"/>
    <w:rsid w:val="000C7665"/>
    <w:rsid w:val="000C788D"/>
    <w:rsid w:val="000D00DE"/>
    <w:rsid w:val="000D0307"/>
    <w:rsid w:val="000D0405"/>
    <w:rsid w:val="000D0595"/>
    <w:rsid w:val="000D09CE"/>
    <w:rsid w:val="000D0B89"/>
    <w:rsid w:val="000D0B93"/>
    <w:rsid w:val="000D0CA5"/>
    <w:rsid w:val="000D0DAB"/>
    <w:rsid w:val="000D0EFE"/>
    <w:rsid w:val="000D122C"/>
    <w:rsid w:val="000D13CA"/>
    <w:rsid w:val="000D1543"/>
    <w:rsid w:val="000D1C35"/>
    <w:rsid w:val="000D1CFB"/>
    <w:rsid w:val="000D230E"/>
    <w:rsid w:val="000D2595"/>
    <w:rsid w:val="000D2D3A"/>
    <w:rsid w:val="000D2F81"/>
    <w:rsid w:val="000D320A"/>
    <w:rsid w:val="000D3634"/>
    <w:rsid w:val="000D3917"/>
    <w:rsid w:val="000D4AA0"/>
    <w:rsid w:val="000D4B40"/>
    <w:rsid w:val="000D51C1"/>
    <w:rsid w:val="000D53F3"/>
    <w:rsid w:val="000D592E"/>
    <w:rsid w:val="000D5C1D"/>
    <w:rsid w:val="000D62DA"/>
    <w:rsid w:val="000D6A91"/>
    <w:rsid w:val="000D6C78"/>
    <w:rsid w:val="000D7868"/>
    <w:rsid w:val="000D78BB"/>
    <w:rsid w:val="000D7FBE"/>
    <w:rsid w:val="000E062C"/>
    <w:rsid w:val="000E0857"/>
    <w:rsid w:val="000E0C40"/>
    <w:rsid w:val="000E0F46"/>
    <w:rsid w:val="000E0FCB"/>
    <w:rsid w:val="000E1C25"/>
    <w:rsid w:val="000E1D75"/>
    <w:rsid w:val="000E1D88"/>
    <w:rsid w:val="000E1EB0"/>
    <w:rsid w:val="000E20EC"/>
    <w:rsid w:val="000E254B"/>
    <w:rsid w:val="000E2897"/>
    <w:rsid w:val="000E2A03"/>
    <w:rsid w:val="000E2BC3"/>
    <w:rsid w:val="000E2E87"/>
    <w:rsid w:val="000E35E7"/>
    <w:rsid w:val="000E3D84"/>
    <w:rsid w:val="000E40A9"/>
    <w:rsid w:val="000E425A"/>
    <w:rsid w:val="000E4264"/>
    <w:rsid w:val="000E45AE"/>
    <w:rsid w:val="000E461C"/>
    <w:rsid w:val="000E464B"/>
    <w:rsid w:val="000E4D98"/>
    <w:rsid w:val="000E56DB"/>
    <w:rsid w:val="000E5F22"/>
    <w:rsid w:val="000E6113"/>
    <w:rsid w:val="000E645B"/>
    <w:rsid w:val="000E64C9"/>
    <w:rsid w:val="000E6E6A"/>
    <w:rsid w:val="000E70EB"/>
    <w:rsid w:val="000E721F"/>
    <w:rsid w:val="000E72B5"/>
    <w:rsid w:val="000E79B1"/>
    <w:rsid w:val="000F0493"/>
    <w:rsid w:val="000F0801"/>
    <w:rsid w:val="000F0AE8"/>
    <w:rsid w:val="000F0BF3"/>
    <w:rsid w:val="000F14D2"/>
    <w:rsid w:val="000F1CAE"/>
    <w:rsid w:val="000F2227"/>
    <w:rsid w:val="000F35F8"/>
    <w:rsid w:val="000F3852"/>
    <w:rsid w:val="000F38DF"/>
    <w:rsid w:val="000F3B75"/>
    <w:rsid w:val="000F3EDD"/>
    <w:rsid w:val="000F43F8"/>
    <w:rsid w:val="000F4C0F"/>
    <w:rsid w:val="000F4E24"/>
    <w:rsid w:val="000F4FCB"/>
    <w:rsid w:val="000F54B2"/>
    <w:rsid w:val="000F66A0"/>
    <w:rsid w:val="000F6CF4"/>
    <w:rsid w:val="000F70FF"/>
    <w:rsid w:val="000F737C"/>
    <w:rsid w:val="000F7C53"/>
    <w:rsid w:val="00100310"/>
    <w:rsid w:val="0010084F"/>
    <w:rsid w:val="0010088C"/>
    <w:rsid w:val="00100F0B"/>
    <w:rsid w:val="0010113A"/>
    <w:rsid w:val="00101392"/>
    <w:rsid w:val="0010139E"/>
    <w:rsid w:val="00101518"/>
    <w:rsid w:val="00101F32"/>
    <w:rsid w:val="0010250F"/>
    <w:rsid w:val="00102AB8"/>
    <w:rsid w:val="00102BCA"/>
    <w:rsid w:val="001031AE"/>
    <w:rsid w:val="001034EC"/>
    <w:rsid w:val="001035A1"/>
    <w:rsid w:val="0010405D"/>
    <w:rsid w:val="001046C8"/>
    <w:rsid w:val="00104A19"/>
    <w:rsid w:val="00105380"/>
    <w:rsid w:val="0010591E"/>
    <w:rsid w:val="00106230"/>
    <w:rsid w:val="00106828"/>
    <w:rsid w:val="00106C7F"/>
    <w:rsid w:val="00107AEC"/>
    <w:rsid w:val="00107B07"/>
    <w:rsid w:val="00110095"/>
    <w:rsid w:val="001106DA"/>
    <w:rsid w:val="00110A14"/>
    <w:rsid w:val="00110A31"/>
    <w:rsid w:val="00110F6C"/>
    <w:rsid w:val="001111C3"/>
    <w:rsid w:val="0011199C"/>
    <w:rsid w:val="00111DF1"/>
    <w:rsid w:val="00112783"/>
    <w:rsid w:val="00112AF0"/>
    <w:rsid w:val="00112AF4"/>
    <w:rsid w:val="00112D84"/>
    <w:rsid w:val="0011392F"/>
    <w:rsid w:val="00113AB4"/>
    <w:rsid w:val="00113D12"/>
    <w:rsid w:val="001146A4"/>
    <w:rsid w:val="00114A5D"/>
    <w:rsid w:val="00115227"/>
    <w:rsid w:val="001156F3"/>
    <w:rsid w:val="001166A3"/>
    <w:rsid w:val="001167C1"/>
    <w:rsid w:val="00116824"/>
    <w:rsid w:val="001168E6"/>
    <w:rsid w:val="00116F6C"/>
    <w:rsid w:val="001170CA"/>
    <w:rsid w:val="00120249"/>
    <w:rsid w:val="001202FF"/>
    <w:rsid w:val="001210DD"/>
    <w:rsid w:val="00121C73"/>
    <w:rsid w:val="001220BD"/>
    <w:rsid w:val="0012295E"/>
    <w:rsid w:val="0012313A"/>
    <w:rsid w:val="001231B5"/>
    <w:rsid w:val="00123526"/>
    <w:rsid w:val="00123ACF"/>
    <w:rsid w:val="00125544"/>
    <w:rsid w:val="00125680"/>
    <w:rsid w:val="00125942"/>
    <w:rsid w:val="00125A0E"/>
    <w:rsid w:val="0012694C"/>
    <w:rsid w:val="001277CC"/>
    <w:rsid w:val="00127AF5"/>
    <w:rsid w:val="001305A5"/>
    <w:rsid w:val="001305C5"/>
    <w:rsid w:val="001305E3"/>
    <w:rsid w:val="00130B75"/>
    <w:rsid w:val="00130BAB"/>
    <w:rsid w:val="00130E2F"/>
    <w:rsid w:val="001314FD"/>
    <w:rsid w:val="00131B23"/>
    <w:rsid w:val="00132742"/>
    <w:rsid w:val="00132AF0"/>
    <w:rsid w:val="00132D4B"/>
    <w:rsid w:val="00133331"/>
    <w:rsid w:val="00133EB0"/>
    <w:rsid w:val="00134F59"/>
    <w:rsid w:val="00134F7B"/>
    <w:rsid w:val="00134F84"/>
    <w:rsid w:val="00136643"/>
    <w:rsid w:val="001369F6"/>
    <w:rsid w:val="00136C4B"/>
    <w:rsid w:val="001379B4"/>
    <w:rsid w:val="0014037B"/>
    <w:rsid w:val="0014072B"/>
    <w:rsid w:val="00141FC1"/>
    <w:rsid w:val="001429FF"/>
    <w:rsid w:val="00142AC2"/>
    <w:rsid w:val="00142F2B"/>
    <w:rsid w:val="00143157"/>
    <w:rsid w:val="001435A1"/>
    <w:rsid w:val="00143727"/>
    <w:rsid w:val="00143976"/>
    <w:rsid w:val="00143BE9"/>
    <w:rsid w:val="001449F7"/>
    <w:rsid w:val="00144D55"/>
    <w:rsid w:val="00144DC1"/>
    <w:rsid w:val="00144DFF"/>
    <w:rsid w:val="001453F7"/>
    <w:rsid w:val="00145E2B"/>
    <w:rsid w:val="00146292"/>
    <w:rsid w:val="00146686"/>
    <w:rsid w:val="001473B5"/>
    <w:rsid w:val="001503BB"/>
    <w:rsid w:val="0015054B"/>
    <w:rsid w:val="00150E74"/>
    <w:rsid w:val="001519BC"/>
    <w:rsid w:val="001520FC"/>
    <w:rsid w:val="001523FC"/>
    <w:rsid w:val="00152823"/>
    <w:rsid w:val="00153163"/>
    <w:rsid w:val="00154591"/>
    <w:rsid w:val="001545B6"/>
    <w:rsid w:val="0015483F"/>
    <w:rsid w:val="00154935"/>
    <w:rsid w:val="00154F62"/>
    <w:rsid w:val="001551D0"/>
    <w:rsid w:val="00155857"/>
    <w:rsid w:val="001564F1"/>
    <w:rsid w:val="001566DA"/>
    <w:rsid w:val="00157325"/>
    <w:rsid w:val="00157481"/>
    <w:rsid w:val="00157991"/>
    <w:rsid w:val="00157A16"/>
    <w:rsid w:val="00157CFC"/>
    <w:rsid w:val="00160510"/>
    <w:rsid w:val="00160A24"/>
    <w:rsid w:val="00160A6C"/>
    <w:rsid w:val="001616AA"/>
    <w:rsid w:val="001622FA"/>
    <w:rsid w:val="001623D4"/>
    <w:rsid w:val="0016276C"/>
    <w:rsid w:val="001633DD"/>
    <w:rsid w:val="0016384A"/>
    <w:rsid w:val="00163A87"/>
    <w:rsid w:val="00163D7C"/>
    <w:rsid w:val="0016439C"/>
    <w:rsid w:val="001644B1"/>
    <w:rsid w:val="001656C2"/>
    <w:rsid w:val="00165CF5"/>
    <w:rsid w:val="00165F11"/>
    <w:rsid w:val="00166102"/>
    <w:rsid w:val="00166B3D"/>
    <w:rsid w:val="00166CA9"/>
    <w:rsid w:val="001674CC"/>
    <w:rsid w:val="00167896"/>
    <w:rsid w:val="00167C83"/>
    <w:rsid w:val="0017003D"/>
    <w:rsid w:val="00170510"/>
    <w:rsid w:val="001706ED"/>
    <w:rsid w:val="00171C02"/>
    <w:rsid w:val="00171D37"/>
    <w:rsid w:val="00173277"/>
    <w:rsid w:val="00173731"/>
    <w:rsid w:val="00173745"/>
    <w:rsid w:val="00173C44"/>
    <w:rsid w:val="001740F2"/>
    <w:rsid w:val="0017538A"/>
    <w:rsid w:val="00175B1E"/>
    <w:rsid w:val="00175D14"/>
    <w:rsid w:val="00175D28"/>
    <w:rsid w:val="00176ACC"/>
    <w:rsid w:val="00176E8E"/>
    <w:rsid w:val="001770E5"/>
    <w:rsid w:val="00177486"/>
    <w:rsid w:val="001776E8"/>
    <w:rsid w:val="00177C70"/>
    <w:rsid w:val="00177E15"/>
    <w:rsid w:val="001803B5"/>
    <w:rsid w:val="001804B8"/>
    <w:rsid w:val="001805D5"/>
    <w:rsid w:val="00181C8C"/>
    <w:rsid w:val="00181E2E"/>
    <w:rsid w:val="001824CC"/>
    <w:rsid w:val="001836E9"/>
    <w:rsid w:val="00183A1C"/>
    <w:rsid w:val="00183CF7"/>
    <w:rsid w:val="001841E3"/>
    <w:rsid w:val="001845FD"/>
    <w:rsid w:val="00185161"/>
    <w:rsid w:val="001852B0"/>
    <w:rsid w:val="001857EF"/>
    <w:rsid w:val="00185FEC"/>
    <w:rsid w:val="001864F0"/>
    <w:rsid w:val="0018656C"/>
    <w:rsid w:val="001865B0"/>
    <w:rsid w:val="00186C12"/>
    <w:rsid w:val="00186CF7"/>
    <w:rsid w:val="00186ECB"/>
    <w:rsid w:val="001871AA"/>
    <w:rsid w:val="00190654"/>
    <w:rsid w:val="0019119A"/>
    <w:rsid w:val="0019192B"/>
    <w:rsid w:val="001927B6"/>
    <w:rsid w:val="001935E2"/>
    <w:rsid w:val="00193A17"/>
    <w:rsid w:val="00193A51"/>
    <w:rsid w:val="00194009"/>
    <w:rsid w:val="001946E1"/>
    <w:rsid w:val="00194FC8"/>
    <w:rsid w:val="0019598D"/>
    <w:rsid w:val="00195A68"/>
    <w:rsid w:val="00195B45"/>
    <w:rsid w:val="00197164"/>
    <w:rsid w:val="001971E9"/>
    <w:rsid w:val="0019791F"/>
    <w:rsid w:val="00197967"/>
    <w:rsid w:val="001A012B"/>
    <w:rsid w:val="001A03CE"/>
    <w:rsid w:val="001A04DF"/>
    <w:rsid w:val="001A062B"/>
    <w:rsid w:val="001A099F"/>
    <w:rsid w:val="001A178C"/>
    <w:rsid w:val="001A185B"/>
    <w:rsid w:val="001A1B0D"/>
    <w:rsid w:val="001A1B2B"/>
    <w:rsid w:val="001A1F4A"/>
    <w:rsid w:val="001A207B"/>
    <w:rsid w:val="001A2669"/>
    <w:rsid w:val="001A27A9"/>
    <w:rsid w:val="001A3455"/>
    <w:rsid w:val="001A3548"/>
    <w:rsid w:val="001A4744"/>
    <w:rsid w:val="001A4B85"/>
    <w:rsid w:val="001A5087"/>
    <w:rsid w:val="001A50EA"/>
    <w:rsid w:val="001A537C"/>
    <w:rsid w:val="001A5CD4"/>
    <w:rsid w:val="001A5F72"/>
    <w:rsid w:val="001A626A"/>
    <w:rsid w:val="001A6BFD"/>
    <w:rsid w:val="001A6EBA"/>
    <w:rsid w:val="001A74E2"/>
    <w:rsid w:val="001A78DD"/>
    <w:rsid w:val="001B0063"/>
    <w:rsid w:val="001B0715"/>
    <w:rsid w:val="001B09CA"/>
    <w:rsid w:val="001B200F"/>
    <w:rsid w:val="001B2209"/>
    <w:rsid w:val="001B225D"/>
    <w:rsid w:val="001B2B58"/>
    <w:rsid w:val="001B2FE3"/>
    <w:rsid w:val="001B30ED"/>
    <w:rsid w:val="001B3573"/>
    <w:rsid w:val="001B3743"/>
    <w:rsid w:val="001B3765"/>
    <w:rsid w:val="001B3F73"/>
    <w:rsid w:val="001B4579"/>
    <w:rsid w:val="001B4A49"/>
    <w:rsid w:val="001B4CCE"/>
    <w:rsid w:val="001B4DF8"/>
    <w:rsid w:val="001B4FDB"/>
    <w:rsid w:val="001B523B"/>
    <w:rsid w:val="001B5282"/>
    <w:rsid w:val="001B59BE"/>
    <w:rsid w:val="001B5EC9"/>
    <w:rsid w:val="001B64D4"/>
    <w:rsid w:val="001B68C4"/>
    <w:rsid w:val="001B6E23"/>
    <w:rsid w:val="001B6F1B"/>
    <w:rsid w:val="001B6FC9"/>
    <w:rsid w:val="001B70E8"/>
    <w:rsid w:val="001B73F6"/>
    <w:rsid w:val="001B74C5"/>
    <w:rsid w:val="001B7CA5"/>
    <w:rsid w:val="001B7FA9"/>
    <w:rsid w:val="001C16C5"/>
    <w:rsid w:val="001C18DF"/>
    <w:rsid w:val="001C1D57"/>
    <w:rsid w:val="001C2537"/>
    <w:rsid w:val="001C31D0"/>
    <w:rsid w:val="001C3B36"/>
    <w:rsid w:val="001C3B64"/>
    <w:rsid w:val="001C3BB7"/>
    <w:rsid w:val="001C46F8"/>
    <w:rsid w:val="001C4910"/>
    <w:rsid w:val="001C587C"/>
    <w:rsid w:val="001C60B2"/>
    <w:rsid w:val="001C62B9"/>
    <w:rsid w:val="001C6A76"/>
    <w:rsid w:val="001C6F51"/>
    <w:rsid w:val="001C7D19"/>
    <w:rsid w:val="001D0A0F"/>
    <w:rsid w:val="001D1088"/>
    <w:rsid w:val="001D1491"/>
    <w:rsid w:val="001D158B"/>
    <w:rsid w:val="001D1CA3"/>
    <w:rsid w:val="001D1E7C"/>
    <w:rsid w:val="001D397B"/>
    <w:rsid w:val="001D3ABE"/>
    <w:rsid w:val="001D3DCF"/>
    <w:rsid w:val="001D3E1C"/>
    <w:rsid w:val="001D42DF"/>
    <w:rsid w:val="001D42E5"/>
    <w:rsid w:val="001D4797"/>
    <w:rsid w:val="001D488D"/>
    <w:rsid w:val="001D5D26"/>
    <w:rsid w:val="001D67C6"/>
    <w:rsid w:val="001D6B2E"/>
    <w:rsid w:val="001D6D74"/>
    <w:rsid w:val="001D6D9E"/>
    <w:rsid w:val="001D75B9"/>
    <w:rsid w:val="001E0315"/>
    <w:rsid w:val="001E07F4"/>
    <w:rsid w:val="001E0E8B"/>
    <w:rsid w:val="001E1602"/>
    <w:rsid w:val="001E1813"/>
    <w:rsid w:val="001E18BD"/>
    <w:rsid w:val="001E1AF9"/>
    <w:rsid w:val="001E24DD"/>
    <w:rsid w:val="001E27DE"/>
    <w:rsid w:val="001E29E9"/>
    <w:rsid w:val="001E2D09"/>
    <w:rsid w:val="001E3097"/>
    <w:rsid w:val="001E3644"/>
    <w:rsid w:val="001E3757"/>
    <w:rsid w:val="001E3B43"/>
    <w:rsid w:val="001E3B6C"/>
    <w:rsid w:val="001E4347"/>
    <w:rsid w:val="001E4E67"/>
    <w:rsid w:val="001E53EB"/>
    <w:rsid w:val="001E5DF4"/>
    <w:rsid w:val="001E5E49"/>
    <w:rsid w:val="001E6189"/>
    <w:rsid w:val="001E660A"/>
    <w:rsid w:val="001E6A8F"/>
    <w:rsid w:val="001E6CA5"/>
    <w:rsid w:val="001E735D"/>
    <w:rsid w:val="001E73DF"/>
    <w:rsid w:val="001E7478"/>
    <w:rsid w:val="001E75C6"/>
    <w:rsid w:val="001E7704"/>
    <w:rsid w:val="001E7957"/>
    <w:rsid w:val="001E79F0"/>
    <w:rsid w:val="001E7DF6"/>
    <w:rsid w:val="001E7EFE"/>
    <w:rsid w:val="001F097B"/>
    <w:rsid w:val="001F0A92"/>
    <w:rsid w:val="001F1408"/>
    <w:rsid w:val="001F1894"/>
    <w:rsid w:val="001F1D25"/>
    <w:rsid w:val="001F240F"/>
    <w:rsid w:val="001F2772"/>
    <w:rsid w:val="001F27BB"/>
    <w:rsid w:val="001F363F"/>
    <w:rsid w:val="001F36A7"/>
    <w:rsid w:val="001F38E1"/>
    <w:rsid w:val="001F43C4"/>
    <w:rsid w:val="001F444A"/>
    <w:rsid w:val="001F45D5"/>
    <w:rsid w:val="001F4B37"/>
    <w:rsid w:val="001F4B3F"/>
    <w:rsid w:val="001F55F4"/>
    <w:rsid w:val="001F5B9D"/>
    <w:rsid w:val="001F618D"/>
    <w:rsid w:val="001F692A"/>
    <w:rsid w:val="001F7869"/>
    <w:rsid w:val="001F7E89"/>
    <w:rsid w:val="0020099C"/>
    <w:rsid w:val="00201032"/>
    <w:rsid w:val="00201076"/>
    <w:rsid w:val="002016CB"/>
    <w:rsid w:val="00201711"/>
    <w:rsid w:val="00201A23"/>
    <w:rsid w:val="00201C26"/>
    <w:rsid w:val="00201E0C"/>
    <w:rsid w:val="00201FB9"/>
    <w:rsid w:val="00201FF7"/>
    <w:rsid w:val="002024EC"/>
    <w:rsid w:val="00202887"/>
    <w:rsid w:val="00202BBD"/>
    <w:rsid w:val="00202F04"/>
    <w:rsid w:val="00203296"/>
    <w:rsid w:val="0020332B"/>
    <w:rsid w:val="00203BB5"/>
    <w:rsid w:val="00204621"/>
    <w:rsid w:val="00204628"/>
    <w:rsid w:val="00204B41"/>
    <w:rsid w:val="00204BA9"/>
    <w:rsid w:val="00205277"/>
    <w:rsid w:val="00205919"/>
    <w:rsid w:val="00205E73"/>
    <w:rsid w:val="002067FB"/>
    <w:rsid w:val="00206AA8"/>
    <w:rsid w:val="00207515"/>
    <w:rsid w:val="0020752B"/>
    <w:rsid w:val="002078BA"/>
    <w:rsid w:val="00207AC6"/>
    <w:rsid w:val="00207EF7"/>
    <w:rsid w:val="00207FF4"/>
    <w:rsid w:val="002105DE"/>
    <w:rsid w:val="00210A1A"/>
    <w:rsid w:val="00210B8B"/>
    <w:rsid w:val="00210C86"/>
    <w:rsid w:val="00210FC2"/>
    <w:rsid w:val="00211C39"/>
    <w:rsid w:val="002121DE"/>
    <w:rsid w:val="002122EA"/>
    <w:rsid w:val="00213469"/>
    <w:rsid w:val="00213EF6"/>
    <w:rsid w:val="0021447B"/>
    <w:rsid w:val="00214CD5"/>
    <w:rsid w:val="00214CE1"/>
    <w:rsid w:val="00215165"/>
    <w:rsid w:val="00215293"/>
    <w:rsid w:val="00215375"/>
    <w:rsid w:val="00215611"/>
    <w:rsid w:val="00215E35"/>
    <w:rsid w:val="00215ED9"/>
    <w:rsid w:val="002161B0"/>
    <w:rsid w:val="002162CD"/>
    <w:rsid w:val="00216550"/>
    <w:rsid w:val="00216810"/>
    <w:rsid w:val="00217916"/>
    <w:rsid w:val="00217AE6"/>
    <w:rsid w:val="002214DB"/>
    <w:rsid w:val="0022199D"/>
    <w:rsid w:val="00221E91"/>
    <w:rsid w:val="00221FEE"/>
    <w:rsid w:val="002220B6"/>
    <w:rsid w:val="00222974"/>
    <w:rsid w:val="00222ED1"/>
    <w:rsid w:val="00223606"/>
    <w:rsid w:val="00223611"/>
    <w:rsid w:val="00223B4B"/>
    <w:rsid w:val="00223FD9"/>
    <w:rsid w:val="002243D0"/>
    <w:rsid w:val="00225121"/>
    <w:rsid w:val="00225350"/>
    <w:rsid w:val="00225389"/>
    <w:rsid w:val="00225874"/>
    <w:rsid w:val="00225AAE"/>
    <w:rsid w:val="00226BB2"/>
    <w:rsid w:val="00226F38"/>
    <w:rsid w:val="0022700B"/>
    <w:rsid w:val="0022749E"/>
    <w:rsid w:val="00227911"/>
    <w:rsid w:val="00230849"/>
    <w:rsid w:val="002316AD"/>
    <w:rsid w:val="002321BC"/>
    <w:rsid w:val="00232C08"/>
    <w:rsid w:val="00232E8E"/>
    <w:rsid w:val="0023358C"/>
    <w:rsid w:val="0023371E"/>
    <w:rsid w:val="00233A67"/>
    <w:rsid w:val="00233B0D"/>
    <w:rsid w:val="00233BCB"/>
    <w:rsid w:val="00233CBE"/>
    <w:rsid w:val="00234758"/>
    <w:rsid w:val="00234BB2"/>
    <w:rsid w:val="00234DE5"/>
    <w:rsid w:val="00235447"/>
    <w:rsid w:val="002354CC"/>
    <w:rsid w:val="00235B19"/>
    <w:rsid w:val="00235EEC"/>
    <w:rsid w:val="002360E5"/>
    <w:rsid w:val="002363A9"/>
    <w:rsid w:val="00236452"/>
    <w:rsid w:val="00236F2D"/>
    <w:rsid w:val="002402C8"/>
    <w:rsid w:val="00240821"/>
    <w:rsid w:val="00240954"/>
    <w:rsid w:val="00240FC4"/>
    <w:rsid w:val="00241114"/>
    <w:rsid w:val="00242270"/>
    <w:rsid w:val="0024259A"/>
    <w:rsid w:val="00242891"/>
    <w:rsid w:val="002428B0"/>
    <w:rsid w:val="00243887"/>
    <w:rsid w:val="00243D93"/>
    <w:rsid w:val="00243EFA"/>
    <w:rsid w:val="002440FD"/>
    <w:rsid w:val="0024412B"/>
    <w:rsid w:val="0024478C"/>
    <w:rsid w:val="00244827"/>
    <w:rsid w:val="00244C39"/>
    <w:rsid w:val="00244E46"/>
    <w:rsid w:val="00244E97"/>
    <w:rsid w:val="00245245"/>
    <w:rsid w:val="0024524B"/>
    <w:rsid w:val="0024581B"/>
    <w:rsid w:val="00246145"/>
    <w:rsid w:val="002461D0"/>
    <w:rsid w:val="002467A9"/>
    <w:rsid w:val="00247068"/>
    <w:rsid w:val="0024742A"/>
    <w:rsid w:val="00247BE6"/>
    <w:rsid w:val="00250169"/>
    <w:rsid w:val="00250D43"/>
    <w:rsid w:val="00250E9A"/>
    <w:rsid w:val="00250F4E"/>
    <w:rsid w:val="0025127A"/>
    <w:rsid w:val="00251D42"/>
    <w:rsid w:val="00251E3B"/>
    <w:rsid w:val="0025258B"/>
    <w:rsid w:val="00252EE1"/>
    <w:rsid w:val="00252F3E"/>
    <w:rsid w:val="002538F4"/>
    <w:rsid w:val="00253BA7"/>
    <w:rsid w:val="00253BF4"/>
    <w:rsid w:val="00253CC7"/>
    <w:rsid w:val="00253D2D"/>
    <w:rsid w:val="00254375"/>
    <w:rsid w:val="002548F7"/>
    <w:rsid w:val="0025499D"/>
    <w:rsid w:val="00255045"/>
    <w:rsid w:val="002556A6"/>
    <w:rsid w:val="002563C2"/>
    <w:rsid w:val="00256626"/>
    <w:rsid w:val="0025723D"/>
    <w:rsid w:val="00257264"/>
    <w:rsid w:val="002572E1"/>
    <w:rsid w:val="00257A3A"/>
    <w:rsid w:val="00257E38"/>
    <w:rsid w:val="00260E59"/>
    <w:rsid w:val="00261145"/>
    <w:rsid w:val="002616E8"/>
    <w:rsid w:val="002618CD"/>
    <w:rsid w:val="00261B0B"/>
    <w:rsid w:val="00262387"/>
    <w:rsid w:val="00262428"/>
    <w:rsid w:val="0026243B"/>
    <w:rsid w:val="00262892"/>
    <w:rsid w:val="00263041"/>
    <w:rsid w:val="00263414"/>
    <w:rsid w:val="00264AD4"/>
    <w:rsid w:val="00264DD7"/>
    <w:rsid w:val="002653F1"/>
    <w:rsid w:val="00265EDF"/>
    <w:rsid w:val="0026635C"/>
    <w:rsid w:val="00266D6E"/>
    <w:rsid w:val="00266EF0"/>
    <w:rsid w:val="00266F53"/>
    <w:rsid w:val="00266FA4"/>
    <w:rsid w:val="0026777C"/>
    <w:rsid w:val="00267C45"/>
    <w:rsid w:val="00270329"/>
    <w:rsid w:val="00270952"/>
    <w:rsid w:val="00270D05"/>
    <w:rsid w:val="002715DE"/>
    <w:rsid w:val="00271AB3"/>
    <w:rsid w:val="00271EBB"/>
    <w:rsid w:val="00271F71"/>
    <w:rsid w:val="00271FF7"/>
    <w:rsid w:val="002720E9"/>
    <w:rsid w:val="00272269"/>
    <w:rsid w:val="00273158"/>
    <w:rsid w:val="00273331"/>
    <w:rsid w:val="00273479"/>
    <w:rsid w:val="002738F5"/>
    <w:rsid w:val="00273DE4"/>
    <w:rsid w:val="00273E43"/>
    <w:rsid w:val="002744CB"/>
    <w:rsid w:val="00274B9B"/>
    <w:rsid w:val="00275060"/>
    <w:rsid w:val="002755D1"/>
    <w:rsid w:val="0027591F"/>
    <w:rsid w:val="00275AE8"/>
    <w:rsid w:val="0027602B"/>
    <w:rsid w:val="00276066"/>
    <w:rsid w:val="00276746"/>
    <w:rsid w:val="002769D9"/>
    <w:rsid w:val="00276C86"/>
    <w:rsid w:val="00277B1A"/>
    <w:rsid w:val="00280216"/>
    <w:rsid w:val="00280289"/>
    <w:rsid w:val="00280432"/>
    <w:rsid w:val="002808E8"/>
    <w:rsid w:val="00280ACA"/>
    <w:rsid w:val="00281148"/>
    <w:rsid w:val="00281331"/>
    <w:rsid w:val="002813D3"/>
    <w:rsid w:val="0028186F"/>
    <w:rsid w:val="00282758"/>
    <w:rsid w:val="002836B8"/>
    <w:rsid w:val="00283865"/>
    <w:rsid w:val="0028578D"/>
    <w:rsid w:val="002859D9"/>
    <w:rsid w:val="00285A49"/>
    <w:rsid w:val="00285F39"/>
    <w:rsid w:val="00286B44"/>
    <w:rsid w:val="00286B71"/>
    <w:rsid w:val="00286BD4"/>
    <w:rsid w:val="002870C1"/>
    <w:rsid w:val="0028759D"/>
    <w:rsid w:val="002876AE"/>
    <w:rsid w:val="0028798C"/>
    <w:rsid w:val="002900B0"/>
    <w:rsid w:val="0029083D"/>
    <w:rsid w:val="00290D56"/>
    <w:rsid w:val="00291566"/>
    <w:rsid w:val="002915F0"/>
    <w:rsid w:val="002920A2"/>
    <w:rsid w:val="0029265B"/>
    <w:rsid w:val="00293472"/>
    <w:rsid w:val="00293A59"/>
    <w:rsid w:val="00293F67"/>
    <w:rsid w:val="002957F0"/>
    <w:rsid w:val="00295B4C"/>
    <w:rsid w:val="00296905"/>
    <w:rsid w:val="00296973"/>
    <w:rsid w:val="002A034C"/>
    <w:rsid w:val="002A054D"/>
    <w:rsid w:val="002A0590"/>
    <w:rsid w:val="002A0D38"/>
    <w:rsid w:val="002A0FC7"/>
    <w:rsid w:val="002A1486"/>
    <w:rsid w:val="002A16AA"/>
    <w:rsid w:val="002A1E01"/>
    <w:rsid w:val="002A308F"/>
    <w:rsid w:val="002A55E3"/>
    <w:rsid w:val="002A56C6"/>
    <w:rsid w:val="002A67D9"/>
    <w:rsid w:val="002A67EC"/>
    <w:rsid w:val="002A6BB9"/>
    <w:rsid w:val="002A7323"/>
    <w:rsid w:val="002A73F0"/>
    <w:rsid w:val="002A7B9F"/>
    <w:rsid w:val="002A7EC8"/>
    <w:rsid w:val="002B0F16"/>
    <w:rsid w:val="002B165C"/>
    <w:rsid w:val="002B201F"/>
    <w:rsid w:val="002B2241"/>
    <w:rsid w:val="002B2589"/>
    <w:rsid w:val="002B2675"/>
    <w:rsid w:val="002B280B"/>
    <w:rsid w:val="002B2939"/>
    <w:rsid w:val="002B2BB7"/>
    <w:rsid w:val="002B31D2"/>
    <w:rsid w:val="002B32D5"/>
    <w:rsid w:val="002B3D27"/>
    <w:rsid w:val="002B3FF6"/>
    <w:rsid w:val="002B408B"/>
    <w:rsid w:val="002B4101"/>
    <w:rsid w:val="002B4625"/>
    <w:rsid w:val="002B4DB0"/>
    <w:rsid w:val="002B547D"/>
    <w:rsid w:val="002B5AFB"/>
    <w:rsid w:val="002B5B43"/>
    <w:rsid w:val="002B61CE"/>
    <w:rsid w:val="002B63FD"/>
    <w:rsid w:val="002B6B78"/>
    <w:rsid w:val="002B6CAF"/>
    <w:rsid w:val="002B746C"/>
    <w:rsid w:val="002B78E5"/>
    <w:rsid w:val="002B7931"/>
    <w:rsid w:val="002B7DEA"/>
    <w:rsid w:val="002C0122"/>
    <w:rsid w:val="002C01BB"/>
    <w:rsid w:val="002C04C7"/>
    <w:rsid w:val="002C085D"/>
    <w:rsid w:val="002C08CB"/>
    <w:rsid w:val="002C0C54"/>
    <w:rsid w:val="002C0EF5"/>
    <w:rsid w:val="002C1450"/>
    <w:rsid w:val="002C1733"/>
    <w:rsid w:val="002C17D3"/>
    <w:rsid w:val="002C18C7"/>
    <w:rsid w:val="002C1C48"/>
    <w:rsid w:val="002C2A97"/>
    <w:rsid w:val="002C2B4A"/>
    <w:rsid w:val="002C2D42"/>
    <w:rsid w:val="002C3BD5"/>
    <w:rsid w:val="002C3E60"/>
    <w:rsid w:val="002C41F7"/>
    <w:rsid w:val="002C42E3"/>
    <w:rsid w:val="002C4371"/>
    <w:rsid w:val="002C4633"/>
    <w:rsid w:val="002C499A"/>
    <w:rsid w:val="002C4B45"/>
    <w:rsid w:val="002C5412"/>
    <w:rsid w:val="002C5764"/>
    <w:rsid w:val="002C57D9"/>
    <w:rsid w:val="002C5AF7"/>
    <w:rsid w:val="002C6037"/>
    <w:rsid w:val="002C6430"/>
    <w:rsid w:val="002C68C7"/>
    <w:rsid w:val="002C68E6"/>
    <w:rsid w:val="002C7A7E"/>
    <w:rsid w:val="002C7C86"/>
    <w:rsid w:val="002C7D9D"/>
    <w:rsid w:val="002C7DC8"/>
    <w:rsid w:val="002D0275"/>
    <w:rsid w:val="002D07B1"/>
    <w:rsid w:val="002D07CB"/>
    <w:rsid w:val="002D09ED"/>
    <w:rsid w:val="002D0DFB"/>
    <w:rsid w:val="002D0EF9"/>
    <w:rsid w:val="002D1031"/>
    <w:rsid w:val="002D197A"/>
    <w:rsid w:val="002D1C69"/>
    <w:rsid w:val="002D1E36"/>
    <w:rsid w:val="002D27A5"/>
    <w:rsid w:val="002D2A88"/>
    <w:rsid w:val="002D2D1C"/>
    <w:rsid w:val="002D3ACA"/>
    <w:rsid w:val="002D3AFE"/>
    <w:rsid w:val="002D3CE4"/>
    <w:rsid w:val="002D46F1"/>
    <w:rsid w:val="002D488E"/>
    <w:rsid w:val="002D4B13"/>
    <w:rsid w:val="002D4EC1"/>
    <w:rsid w:val="002D5483"/>
    <w:rsid w:val="002D56B7"/>
    <w:rsid w:val="002D57B6"/>
    <w:rsid w:val="002D5897"/>
    <w:rsid w:val="002D59B2"/>
    <w:rsid w:val="002D59B5"/>
    <w:rsid w:val="002D61C3"/>
    <w:rsid w:val="002D61EA"/>
    <w:rsid w:val="002D6793"/>
    <w:rsid w:val="002D68DF"/>
    <w:rsid w:val="002D75BA"/>
    <w:rsid w:val="002D76F4"/>
    <w:rsid w:val="002E0090"/>
    <w:rsid w:val="002E012E"/>
    <w:rsid w:val="002E0351"/>
    <w:rsid w:val="002E061B"/>
    <w:rsid w:val="002E0B2A"/>
    <w:rsid w:val="002E11E9"/>
    <w:rsid w:val="002E1439"/>
    <w:rsid w:val="002E16FB"/>
    <w:rsid w:val="002E174F"/>
    <w:rsid w:val="002E1F91"/>
    <w:rsid w:val="002E299C"/>
    <w:rsid w:val="002E2A7F"/>
    <w:rsid w:val="002E2C43"/>
    <w:rsid w:val="002E2E2C"/>
    <w:rsid w:val="002E3248"/>
    <w:rsid w:val="002E3586"/>
    <w:rsid w:val="002E4072"/>
    <w:rsid w:val="002E4CD9"/>
    <w:rsid w:val="002E4EFE"/>
    <w:rsid w:val="002E4FF2"/>
    <w:rsid w:val="002E534D"/>
    <w:rsid w:val="002E5EDB"/>
    <w:rsid w:val="002E7092"/>
    <w:rsid w:val="002E7325"/>
    <w:rsid w:val="002E7383"/>
    <w:rsid w:val="002E7C48"/>
    <w:rsid w:val="002E7CA0"/>
    <w:rsid w:val="002E7DFE"/>
    <w:rsid w:val="002F0569"/>
    <w:rsid w:val="002F0ED5"/>
    <w:rsid w:val="002F1700"/>
    <w:rsid w:val="002F1992"/>
    <w:rsid w:val="002F1A3C"/>
    <w:rsid w:val="002F1AC2"/>
    <w:rsid w:val="002F1B06"/>
    <w:rsid w:val="002F1EE9"/>
    <w:rsid w:val="002F1FE5"/>
    <w:rsid w:val="002F259F"/>
    <w:rsid w:val="002F28D1"/>
    <w:rsid w:val="002F360B"/>
    <w:rsid w:val="002F4706"/>
    <w:rsid w:val="002F476D"/>
    <w:rsid w:val="002F4CA5"/>
    <w:rsid w:val="002F537D"/>
    <w:rsid w:val="002F577A"/>
    <w:rsid w:val="002F5B4E"/>
    <w:rsid w:val="002F6227"/>
    <w:rsid w:val="002F657C"/>
    <w:rsid w:val="002F6A07"/>
    <w:rsid w:val="002F7125"/>
    <w:rsid w:val="002F7167"/>
    <w:rsid w:val="002F7369"/>
    <w:rsid w:val="002F7A0B"/>
    <w:rsid w:val="002F7B19"/>
    <w:rsid w:val="002F7BAD"/>
    <w:rsid w:val="00300BF2"/>
    <w:rsid w:val="00300D80"/>
    <w:rsid w:val="00300E30"/>
    <w:rsid w:val="003010CE"/>
    <w:rsid w:val="00301B1A"/>
    <w:rsid w:val="003022A0"/>
    <w:rsid w:val="00302A33"/>
    <w:rsid w:val="003030B2"/>
    <w:rsid w:val="00303431"/>
    <w:rsid w:val="00303C6D"/>
    <w:rsid w:val="00304938"/>
    <w:rsid w:val="00304E88"/>
    <w:rsid w:val="00304F40"/>
    <w:rsid w:val="00304FE2"/>
    <w:rsid w:val="0030543F"/>
    <w:rsid w:val="003056A1"/>
    <w:rsid w:val="00305E9F"/>
    <w:rsid w:val="00306400"/>
    <w:rsid w:val="00306A54"/>
    <w:rsid w:val="00306B4B"/>
    <w:rsid w:val="00306D79"/>
    <w:rsid w:val="00306FC2"/>
    <w:rsid w:val="0030764B"/>
    <w:rsid w:val="003076FE"/>
    <w:rsid w:val="00310A9A"/>
    <w:rsid w:val="00310C69"/>
    <w:rsid w:val="00311379"/>
    <w:rsid w:val="00311757"/>
    <w:rsid w:val="00311B31"/>
    <w:rsid w:val="00311B5E"/>
    <w:rsid w:val="00311B99"/>
    <w:rsid w:val="00311D6B"/>
    <w:rsid w:val="00311E15"/>
    <w:rsid w:val="00312066"/>
    <w:rsid w:val="0031217B"/>
    <w:rsid w:val="00312578"/>
    <w:rsid w:val="00312844"/>
    <w:rsid w:val="00312964"/>
    <w:rsid w:val="00312E90"/>
    <w:rsid w:val="003140BC"/>
    <w:rsid w:val="00314454"/>
    <w:rsid w:val="00314B19"/>
    <w:rsid w:val="00314B88"/>
    <w:rsid w:val="003151A3"/>
    <w:rsid w:val="003152E8"/>
    <w:rsid w:val="00315561"/>
    <w:rsid w:val="00316507"/>
    <w:rsid w:val="00316A79"/>
    <w:rsid w:val="00316D37"/>
    <w:rsid w:val="003174EF"/>
    <w:rsid w:val="003177BF"/>
    <w:rsid w:val="00317C8E"/>
    <w:rsid w:val="00317F9D"/>
    <w:rsid w:val="003202BB"/>
    <w:rsid w:val="00320479"/>
    <w:rsid w:val="00320546"/>
    <w:rsid w:val="00320A12"/>
    <w:rsid w:val="003210A5"/>
    <w:rsid w:val="00321701"/>
    <w:rsid w:val="00321A80"/>
    <w:rsid w:val="00321CF2"/>
    <w:rsid w:val="00321F3A"/>
    <w:rsid w:val="003220BA"/>
    <w:rsid w:val="00322B64"/>
    <w:rsid w:val="00323429"/>
    <w:rsid w:val="00323596"/>
    <w:rsid w:val="00323A5B"/>
    <w:rsid w:val="00323BC6"/>
    <w:rsid w:val="0032458B"/>
    <w:rsid w:val="003246F7"/>
    <w:rsid w:val="0032532C"/>
    <w:rsid w:val="0032654E"/>
    <w:rsid w:val="00326758"/>
    <w:rsid w:val="00326AB1"/>
    <w:rsid w:val="003274D1"/>
    <w:rsid w:val="00327B98"/>
    <w:rsid w:val="00327D97"/>
    <w:rsid w:val="00330621"/>
    <w:rsid w:val="0033069A"/>
    <w:rsid w:val="00331001"/>
    <w:rsid w:val="003318F8"/>
    <w:rsid w:val="00331CAA"/>
    <w:rsid w:val="00331D13"/>
    <w:rsid w:val="003320CF"/>
    <w:rsid w:val="00332212"/>
    <w:rsid w:val="00332236"/>
    <w:rsid w:val="0033230C"/>
    <w:rsid w:val="0033239B"/>
    <w:rsid w:val="003330B1"/>
    <w:rsid w:val="00333422"/>
    <w:rsid w:val="00333840"/>
    <w:rsid w:val="00333CD9"/>
    <w:rsid w:val="00333EAB"/>
    <w:rsid w:val="00333EC5"/>
    <w:rsid w:val="0033429E"/>
    <w:rsid w:val="00334463"/>
    <w:rsid w:val="003345FA"/>
    <w:rsid w:val="003350F3"/>
    <w:rsid w:val="00335E39"/>
    <w:rsid w:val="0033613D"/>
    <w:rsid w:val="003367E0"/>
    <w:rsid w:val="0033695F"/>
    <w:rsid w:val="00337522"/>
    <w:rsid w:val="003376FE"/>
    <w:rsid w:val="003378C5"/>
    <w:rsid w:val="00340240"/>
    <w:rsid w:val="0034028E"/>
    <w:rsid w:val="00340D10"/>
    <w:rsid w:val="00340E34"/>
    <w:rsid w:val="00341016"/>
    <w:rsid w:val="003420A4"/>
    <w:rsid w:val="00342130"/>
    <w:rsid w:val="003423D1"/>
    <w:rsid w:val="00342624"/>
    <w:rsid w:val="003427C2"/>
    <w:rsid w:val="00343161"/>
    <w:rsid w:val="00343187"/>
    <w:rsid w:val="00343A45"/>
    <w:rsid w:val="00344EB0"/>
    <w:rsid w:val="00344FBD"/>
    <w:rsid w:val="0034502D"/>
    <w:rsid w:val="00345870"/>
    <w:rsid w:val="00345B39"/>
    <w:rsid w:val="0034612D"/>
    <w:rsid w:val="00347017"/>
    <w:rsid w:val="00347417"/>
    <w:rsid w:val="00347445"/>
    <w:rsid w:val="00347AFC"/>
    <w:rsid w:val="00347E85"/>
    <w:rsid w:val="00347EBF"/>
    <w:rsid w:val="00347EFE"/>
    <w:rsid w:val="00350821"/>
    <w:rsid w:val="00350AD5"/>
    <w:rsid w:val="00351058"/>
    <w:rsid w:val="003522E0"/>
    <w:rsid w:val="00352A7B"/>
    <w:rsid w:val="00352C60"/>
    <w:rsid w:val="00352D9C"/>
    <w:rsid w:val="00353189"/>
    <w:rsid w:val="003534B4"/>
    <w:rsid w:val="00353F31"/>
    <w:rsid w:val="003542DB"/>
    <w:rsid w:val="003554B9"/>
    <w:rsid w:val="00355508"/>
    <w:rsid w:val="0035624B"/>
    <w:rsid w:val="003563D5"/>
    <w:rsid w:val="0035700C"/>
    <w:rsid w:val="00357193"/>
    <w:rsid w:val="00357316"/>
    <w:rsid w:val="003577E3"/>
    <w:rsid w:val="00357A9B"/>
    <w:rsid w:val="00357CBC"/>
    <w:rsid w:val="00357EB9"/>
    <w:rsid w:val="0036101F"/>
    <w:rsid w:val="003615A4"/>
    <w:rsid w:val="0036160F"/>
    <w:rsid w:val="00361788"/>
    <w:rsid w:val="003621CD"/>
    <w:rsid w:val="0036275F"/>
    <w:rsid w:val="003628C0"/>
    <w:rsid w:val="00362FDD"/>
    <w:rsid w:val="003635ED"/>
    <w:rsid w:val="003638A5"/>
    <w:rsid w:val="00363B21"/>
    <w:rsid w:val="00363ED4"/>
    <w:rsid w:val="00363EF9"/>
    <w:rsid w:val="00363F8D"/>
    <w:rsid w:val="00364193"/>
    <w:rsid w:val="00364926"/>
    <w:rsid w:val="003650C2"/>
    <w:rsid w:val="00365715"/>
    <w:rsid w:val="0036577F"/>
    <w:rsid w:val="00365858"/>
    <w:rsid w:val="00366199"/>
    <w:rsid w:val="003661D4"/>
    <w:rsid w:val="00367619"/>
    <w:rsid w:val="0037005C"/>
    <w:rsid w:val="0037052C"/>
    <w:rsid w:val="0037073B"/>
    <w:rsid w:val="00370A56"/>
    <w:rsid w:val="00370A95"/>
    <w:rsid w:val="0037103D"/>
    <w:rsid w:val="003714BC"/>
    <w:rsid w:val="00371649"/>
    <w:rsid w:val="00371BD8"/>
    <w:rsid w:val="003725C8"/>
    <w:rsid w:val="00372649"/>
    <w:rsid w:val="0037270C"/>
    <w:rsid w:val="003727A3"/>
    <w:rsid w:val="0037374F"/>
    <w:rsid w:val="0037378F"/>
    <w:rsid w:val="0037387F"/>
    <w:rsid w:val="00373904"/>
    <w:rsid w:val="0037424A"/>
    <w:rsid w:val="003749D9"/>
    <w:rsid w:val="00374D0D"/>
    <w:rsid w:val="00374DF1"/>
    <w:rsid w:val="0037578B"/>
    <w:rsid w:val="00375A1F"/>
    <w:rsid w:val="003766F0"/>
    <w:rsid w:val="00376788"/>
    <w:rsid w:val="00376C53"/>
    <w:rsid w:val="00376F13"/>
    <w:rsid w:val="00376F89"/>
    <w:rsid w:val="0037747D"/>
    <w:rsid w:val="00377CBF"/>
    <w:rsid w:val="0038009F"/>
    <w:rsid w:val="003800C6"/>
    <w:rsid w:val="003807E0"/>
    <w:rsid w:val="00381EBE"/>
    <w:rsid w:val="00382007"/>
    <w:rsid w:val="00382089"/>
    <w:rsid w:val="00382D92"/>
    <w:rsid w:val="00382E75"/>
    <w:rsid w:val="003831BF"/>
    <w:rsid w:val="00383D41"/>
    <w:rsid w:val="0038403C"/>
    <w:rsid w:val="003847A6"/>
    <w:rsid w:val="0038492C"/>
    <w:rsid w:val="00384C8B"/>
    <w:rsid w:val="00384CF9"/>
    <w:rsid w:val="003855B7"/>
    <w:rsid w:val="00385799"/>
    <w:rsid w:val="00385D95"/>
    <w:rsid w:val="00385E57"/>
    <w:rsid w:val="00385F70"/>
    <w:rsid w:val="00386208"/>
    <w:rsid w:val="003862DD"/>
    <w:rsid w:val="00386611"/>
    <w:rsid w:val="00386BA6"/>
    <w:rsid w:val="003875E7"/>
    <w:rsid w:val="003875E8"/>
    <w:rsid w:val="0038775D"/>
    <w:rsid w:val="00387A6B"/>
    <w:rsid w:val="00387ABA"/>
    <w:rsid w:val="00387B4C"/>
    <w:rsid w:val="00387EF2"/>
    <w:rsid w:val="0039109F"/>
    <w:rsid w:val="00391E26"/>
    <w:rsid w:val="00391EF0"/>
    <w:rsid w:val="003920A8"/>
    <w:rsid w:val="003923CC"/>
    <w:rsid w:val="00392456"/>
    <w:rsid w:val="003934F3"/>
    <w:rsid w:val="003935C9"/>
    <w:rsid w:val="0039397A"/>
    <w:rsid w:val="00393E23"/>
    <w:rsid w:val="003940D1"/>
    <w:rsid w:val="00394165"/>
    <w:rsid w:val="0039438B"/>
    <w:rsid w:val="003944AD"/>
    <w:rsid w:val="00394795"/>
    <w:rsid w:val="003947E1"/>
    <w:rsid w:val="00394A40"/>
    <w:rsid w:val="00395614"/>
    <w:rsid w:val="0039598E"/>
    <w:rsid w:val="00395D90"/>
    <w:rsid w:val="00395FC3"/>
    <w:rsid w:val="003969C4"/>
    <w:rsid w:val="00396DCD"/>
    <w:rsid w:val="00396ECA"/>
    <w:rsid w:val="003977C3"/>
    <w:rsid w:val="00397DFE"/>
    <w:rsid w:val="00397EFE"/>
    <w:rsid w:val="003A020F"/>
    <w:rsid w:val="003A060A"/>
    <w:rsid w:val="003A064A"/>
    <w:rsid w:val="003A0997"/>
    <w:rsid w:val="003A1D60"/>
    <w:rsid w:val="003A229A"/>
    <w:rsid w:val="003A2C22"/>
    <w:rsid w:val="003A34C3"/>
    <w:rsid w:val="003A34E5"/>
    <w:rsid w:val="003A3A04"/>
    <w:rsid w:val="003A3BD4"/>
    <w:rsid w:val="003A3D92"/>
    <w:rsid w:val="003A3FF1"/>
    <w:rsid w:val="003A401C"/>
    <w:rsid w:val="003A43E8"/>
    <w:rsid w:val="003A4AC9"/>
    <w:rsid w:val="003A4E12"/>
    <w:rsid w:val="003A4ED4"/>
    <w:rsid w:val="003A58B4"/>
    <w:rsid w:val="003A5A8E"/>
    <w:rsid w:val="003A5E89"/>
    <w:rsid w:val="003A71A6"/>
    <w:rsid w:val="003A7CDC"/>
    <w:rsid w:val="003A7DCA"/>
    <w:rsid w:val="003B02D2"/>
    <w:rsid w:val="003B0330"/>
    <w:rsid w:val="003B0383"/>
    <w:rsid w:val="003B0CBA"/>
    <w:rsid w:val="003B1019"/>
    <w:rsid w:val="003B1CC9"/>
    <w:rsid w:val="003B1CD5"/>
    <w:rsid w:val="003B222B"/>
    <w:rsid w:val="003B2610"/>
    <w:rsid w:val="003B321F"/>
    <w:rsid w:val="003B3368"/>
    <w:rsid w:val="003B33A3"/>
    <w:rsid w:val="003B3EC5"/>
    <w:rsid w:val="003B463F"/>
    <w:rsid w:val="003B4CC9"/>
    <w:rsid w:val="003B55B6"/>
    <w:rsid w:val="003B55F8"/>
    <w:rsid w:val="003B670A"/>
    <w:rsid w:val="003B6DD3"/>
    <w:rsid w:val="003B701F"/>
    <w:rsid w:val="003B72CA"/>
    <w:rsid w:val="003B75CF"/>
    <w:rsid w:val="003B797C"/>
    <w:rsid w:val="003B7A4F"/>
    <w:rsid w:val="003B7E42"/>
    <w:rsid w:val="003C050A"/>
    <w:rsid w:val="003C06AB"/>
    <w:rsid w:val="003C0849"/>
    <w:rsid w:val="003C0D0A"/>
    <w:rsid w:val="003C0F77"/>
    <w:rsid w:val="003C11EC"/>
    <w:rsid w:val="003C1E20"/>
    <w:rsid w:val="003C20CC"/>
    <w:rsid w:val="003C27D0"/>
    <w:rsid w:val="003C2882"/>
    <w:rsid w:val="003C3913"/>
    <w:rsid w:val="003C3D0F"/>
    <w:rsid w:val="003C3D3F"/>
    <w:rsid w:val="003C3E5F"/>
    <w:rsid w:val="003C4022"/>
    <w:rsid w:val="003C441C"/>
    <w:rsid w:val="003C47E7"/>
    <w:rsid w:val="003C4E5F"/>
    <w:rsid w:val="003C5339"/>
    <w:rsid w:val="003C5CB9"/>
    <w:rsid w:val="003C5D32"/>
    <w:rsid w:val="003C6BC3"/>
    <w:rsid w:val="003D02F2"/>
    <w:rsid w:val="003D07BB"/>
    <w:rsid w:val="003D08A2"/>
    <w:rsid w:val="003D0D30"/>
    <w:rsid w:val="003D11E1"/>
    <w:rsid w:val="003D140B"/>
    <w:rsid w:val="003D14BB"/>
    <w:rsid w:val="003D18C9"/>
    <w:rsid w:val="003D1D26"/>
    <w:rsid w:val="003D1F57"/>
    <w:rsid w:val="003D2403"/>
    <w:rsid w:val="003D246D"/>
    <w:rsid w:val="003D29AE"/>
    <w:rsid w:val="003D316D"/>
    <w:rsid w:val="003D3CE1"/>
    <w:rsid w:val="003D4191"/>
    <w:rsid w:val="003D47D6"/>
    <w:rsid w:val="003D4861"/>
    <w:rsid w:val="003D4995"/>
    <w:rsid w:val="003D4D1D"/>
    <w:rsid w:val="003D51A7"/>
    <w:rsid w:val="003D575B"/>
    <w:rsid w:val="003D59FE"/>
    <w:rsid w:val="003D639D"/>
    <w:rsid w:val="003D63D4"/>
    <w:rsid w:val="003D6D70"/>
    <w:rsid w:val="003D707A"/>
    <w:rsid w:val="003D7655"/>
    <w:rsid w:val="003D7822"/>
    <w:rsid w:val="003D7FB2"/>
    <w:rsid w:val="003E030A"/>
    <w:rsid w:val="003E034A"/>
    <w:rsid w:val="003E0683"/>
    <w:rsid w:val="003E06D9"/>
    <w:rsid w:val="003E1F29"/>
    <w:rsid w:val="003E1F78"/>
    <w:rsid w:val="003E24A0"/>
    <w:rsid w:val="003E260A"/>
    <w:rsid w:val="003E2E12"/>
    <w:rsid w:val="003E38C8"/>
    <w:rsid w:val="003E3F8E"/>
    <w:rsid w:val="003E4941"/>
    <w:rsid w:val="003E5039"/>
    <w:rsid w:val="003E519F"/>
    <w:rsid w:val="003E53C3"/>
    <w:rsid w:val="003E58DE"/>
    <w:rsid w:val="003E5C05"/>
    <w:rsid w:val="003E5C23"/>
    <w:rsid w:val="003E5DCF"/>
    <w:rsid w:val="003E5F69"/>
    <w:rsid w:val="003E61C6"/>
    <w:rsid w:val="003E6561"/>
    <w:rsid w:val="003E6C90"/>
    <w:rsid w:val="003E731A"/>
    <w:rsid w:val="003E766A"/>
    <w:rsid w:val="003E79F0"/>
    <w:rsid w:val="003E7DC6"/>
    <w:rsid w:val="003E7FCA"/>
    <w:rsid w:val="003F0FEA"/>
    <w:rsid w:val="003F162C"/>
    <w:rsid w:val="003F2849"/>
    <w:rsid w:val="003F35D5"/>
    <w:rsid w:val="003F3E76"/>
    <w:rsid w:val="003F4FD5"/>
    <w:rsid w:val="003F5052"/>
    <w:rsid w:val="003F5796"/>
    <w:rsid w:val="003F5984"/>
    <w:rsid w:val="003F6283"/>
    <w:rsid w:val="003F65CA"/>
    <w:rsid w:val="003F6907"/>
    <w:rsid w:val="003F6A61"/>
    <w:rsid w:val="003F6BF8"/>
    <w:rsid w:val="003F7262"/>
    <w:rsid w:val="003F7D92"/>
    <w:rsid w:val="00401162"/>
    <w:rsid w:val="00401547"/>
    <w:rsid w:val="00401E80"/>
    <w:rsid w:val="004024F7"/>
    <w:rsid w:val="00402758"/>
    <w:rsid w:val="004029DE"/>
    <w:rsid w:val="00402B80"/>
    <w:rsid w:val="00402FE7"/>
    <w:rsid w:val="004033A2"/>
    <w:rsid w:val="00403CBE"/>
    <w:rsid w:val="004043E6"/>
    <w:rsid w:val="00405042"/>
    <w:rsid w:val="00405B49"/>
    <w:rsid w:val="00406120"/>
    <w:rsid w:val="00406833"/>
    <w:rsid w:val="00406D92"/>
    <w:rsid w:val="00407170"/>
    <w:rsid w:val="00407520"/>
    <w:rsid w:val="0041019E"/>
    <w:rsid w:val="00410845"/>
    <w:rsid w:val="00410C0C"/>
    <w:rsid w:val="00410D3A"/>
    <w:rsid w:val="004113B6"/>
    <w:rsid w:val="0041160B"/>
    <w:rsid w:val="00411EFF"/>
    <w:rsid w:val="0041214C"/>
    <w:rsid w:val="004128FE"/>
    <w:rsid w:val="004129BD"/>
    <w:rsid w:val="004129D1"/>
    <w:rsid w:val="00412D89"/>
    <w:rsid w:val="00413B68"/>
    <w:rsid w:val="0041416A"/>
    <w:rsid w:val="00414289"/>
    <w:rsid w:val="00414EAB"/>
    <w:rsid w:val="00415225"/>
    <w:rsid w:val="004155B7"/>
    <w:rsid w:val="00415D42"/>
    <w:rsid w:val="00415E95"/>
    <w:rsid w:val="00416344"/>
    <w:rsid w:val="004166AC"/>
    <w:rsid w:val="0041777C"/>
    <w:rsid w:val="00417A95"/>
    <w:rsid w:val="0042054D"/>
    <w:rsid w:val="004205CD"/>
    <w:rsid w:val="004208E3"/>
    <w:rsid w:val="00421999"/>
    <w:rsid w:val="0042241B"/>
    <w:rsid w:val="00422649"/>
    <w:rsid w:val="00422843"/>
    <w:rsid w:val="00422D13"/>
    <w:rsid w:val="00422E0C"/>
    <w:rsid w:val="0042305B"/>
    <w:rsid w:val="00423629"/>
    <w:rsid w:val="00423CA2"/>
    <w:rsid w:val="0042400B"/>
    <w:rsid w:val="00424402"/>
    <w:rsid w:val="004257A6"/>
    <w:rsid w:val="00425E64"/>
    <w:rsid w:val="00426783"/>
    <w:rsid w:val="00426862"/>
    <w:rsid w:val="00427496"/>
    <w:rsid w:val="004300B2"/>
    <w:rsid w:val="004308F3"/>
    <w:rsid w:val="00430EBA"/>
    <w:rsid w:val="004310B3"/>
    <w:rsid w:val="00431139"/>
    <w:rsid w:val="0043127D"/>
    <w:rsid w:val="0043155C"/>
    <w:rsid w:val="00432190"/>
    <w:rsid w:val="0043251F"/>
    <w:rsid w:val="00432E35"/>
    <w:rsid w:val="00433883"/>
    <w:rsid w:val="004339FC"/>
    <w:rsid w:val="00433AE9"/>
    <w:rsid w:val="00433E70"/>
    <w:rsid w:val="00433F6F"/>
    <w:rsid w:val="00434001"/>
    <w:rsid w:val="0043428F"/>
    <w:rsid w:val="00434566"/>
    <w:rsid w:val="00434724"/>
    <w:rsid w:val="00434981"/>
    <w:rsid w:val="0043498D"/>
    <w:rsid w:val="00434B6A"/>
    <w:rsid w:val="00434C35"/>
    <w:rsid w:val="00435759"/>
    <w:rsid w:val="00436D89"/>
    <w:rsid w:val="004372FE"/>
    <w:rsid w:val="0043767F"/>
    <w:rsid w:val="0043775A"/>
    <w:rsid w:val="00437837"/>
    <w:rsid w:val="00437DD9"/>
    <w:rsid w:val="004406E3"/>
    <w:rsid w:val="00440791"/>
    <w:rsid w:val="00440EB0"/>
    <w:rsid w:val="00440F85"/>
    <w:rsid w:val="00441112"/>
    <w:rsid w:val="0044123F"/>
    <w:rsid w:val="00441549"/>
    <w:rsid w:val="00441703"/>
    <w:rsid w:val="00441862"/>
    <w:rsid w:val="00441908"/>
    <w:rsid w:val="00441984"/>
    <w:rsid w:val="00441A3E"/>
    <w:rsid w:val="00441C91"/>
    <w:rsid w:val="004428D5"/>
    <w:rsid w:val="0044290E"/>
    <w:rsid w:val="00442B08"/>
    <w:rsid w:val="004436C3"/>
    <w:rsid w:val="00443824"/>
    <w:rsid w:val="00443C04"/>
    <w:rsid w:val="00443EAC"/>
    <w:rsid w:val="00444791"/>
    <w:rsid w:val="00444B4D"/>
    <w:rsid w:val="00444C71"/>
    <w:rsid w:val="00444D28"/>
    <w:rsid w:val="00444DCD"/>
    <w:rsid w:val="004451CD"/>
    <w:rsid w:val="00445201"/>
    <w:rsid w:val="004452EA"/>
    <w:rsid w:val="004453C3"/>
    <w:rsid w:val="004453D2"/>
    <w:rsid w:val="00446019"/>
    <w:rsid w:val="0044668E"/>
    <w:rsid w:val="00446717"/>
    <w:rsid w:val="00446ECB"/>
    <w:rsid w:val="004471C3"/>
    <w:rsid w:val="00447628"/>
    <w:rsid w:val="00447EBA"/>
    <w:rsid w:val="004501E3"/>
    <w:rsid w:val="004501F7"/>
    <w:rsid w:val="00450307"/>
    <w:rsid w:val="00450CB1"/>
    <w:rsid w:val="00450D29"/>
    <w:rsid w:val="00451069"/>
    <w:rsid w:val="0045109E"/>
    <w:rsid w:val="00451110"/>
    <w:rsid w:val="004515B6"/>
    <w:rsid w:val="00451A30"/>
    <w:rsid w:val="00451B3F"/>
    <w:rsid w:val="00452364"/>
    <w:rsid w:val="004526E5"/>
    <w:rsid w:val="004528D4"/>
    <w:rsid w:val="00452A6F"/>
    <w:rsid w:val="0045356A"/>
    <w:rsid w:val="004541DD"/>
    <w:rsid w:val="004542FF"/>
    <w:rsid w:val="00454493"/>
    <w:rsid w:val="00454A6D"/>
    <w:rsid w:val="00454B98"/>
    <w:rsid w:val="00454E2F"/>
    <w:rsid w:val="004551B2"/>
    <w:rsid w:val="004555F0"/>
    <w:rsid w:val="00455B8B"/>
    <w:rsid w:val="0045690F"/>
    <w:rsid w:val="00456A2B"/>
    <w:rsid w:val="00456E09"/>
    <w:rsid w:val="00457451"/>
    <w:rsid w:val="00457545"/>
    <w:rsid w:val="004576C7"/>
    <w:rsid w:val="00457857"/>
    <w:rsid w:val="00457C07"/>
    <w:rsid w:val="00457C74"/>
    <w:rsid w:val="00457E70"/>
    <w:rsid w:val="0046020C"/>
    <w:rsid w:val="00460629"/>
    <w:rsid w:val="00460730"/>
    <w:rsid w:val="0046074A"/>
    <w:rsid w:val="00460C5C"/>
    <w:rsid w:val="00460DEE"/>
    <w:rsid w:val="004611CB"/>
    <w:rsid w:val="00461906"/>
    <w:rsid w:val="00461F25"/>
    <w:rsid w:val="00462371"/>
    <w:rsid w:val="004628C1"/>
    <w:rsid w:val="00462BE3"/>
    <w:rsid w:val="00463A68"/>
    <w:rsid w:val="00463FA9"/>
    <w:rsid w:val="004642FA"/>
    <w:rsid w:val="004644C4"/>
    <w:rsid w:val="00464D7B"/>
    <w:rsid w:val="00465075"/>
    <w:rsid w:val="004657CF"/>
    <w:rsid w:val="00465A93"/>
    <w:rsid w:val="00465DCE"/>
    <w:rsid w:val="004666A4"/>
    <w:rsid w:val="00467566"/>
    <w:rsid w:val="00467931"/>
    <w:rsid w:val="00467D49"/>
    <w:rsid w:val="004700C8"/>
    <w:rsid w:val="004702CA"/>
    <w:rsid w:val="00470466"/>
    <w:rsid w:val="00470838"/>
    <w:rsid w:val="00470D0D"/>
    <w:rsid w:val="004710F2"/>
    <w:rsid w:val="00471469"/>
    <w:rsid w:val="0047146D"/>
    <w:rsid w:val="00471952"/>
    <w:rsid w:val="00471DE2"/>
    <w:rsid w:val="00471E08"/>
    <w:rsid w:val="00473DB5"/>
    <w:rsid w:val="00474160"/>
    <w:rsid w:val="004742DD"/>
    <w:rsid w:val="00474EA3"/>
    <w:rsid w:val="00475110"/>
    <w:rsid w:val="004751D5"/>
    <w:rsid w:val="004752CD"/>
    <w:rsid w:val="004755C7"/>
    <w:rsid w:val="00475654"/>
    <w:rsid w:val="00475712"/>
    <w:rsid w:val="00475954"/>
    <w:rsid w:val="00475D96"/>
    <w:rsid w:val="00475DCD"/>
    <w:rsid w:val="00476286"/>
    <w:rsid w:val="0047628A"/>
    <w:rsid w:val="004768FA"/>
    <w:rsid w:val="00476A7A"/>
    <w:rsid w:val="00476D4F"/>
    <w:rsid w:val="004776DF"/>
    <w:rsid w:val="00477915"/>
    <w:rsid w:val="00480195"/>
    <w:rsid w:val="004803BB"/>
    <w:rsid w:val="00480B16"/>
    <w:rsid w:val="00481249"/>
    <w:rsid w:val="0048135F"/>
    <w:rsid w:val="0048170D"/>
    <w:rsid w:val="00482320"/>
    <w:rsid w:val="00482460"/>
    <w:rsid w:val="00482725"/>
    <w:rsid w:val="00482E98"/>
    <w:rsid w:val="004830DD"/>
    <w:rsid w:val="00483550"/>
    <w:rsid w:val="004837D9"/>
    <w:rsid w:val="004839DA"/>
    <w:rsid w:val="00483A1A"/>
    <w:rsid w:val="00483D69"/>
    <w:rsid w:val="00484BB5"/>
    <w:rsid w:val="00485446"/>
    <w:rsid w:val="004856A2"/>
    <w:rsid w:val="00485E94"/>
    <w:rsid w:val="00486E22"/>
    <w:rsid w:val="00486EC1"/>
    <w:rsid w:val="00487054"/>
    <w:rsid w:val="00487644"/>
    <w:rsid w:val="00487B1A"/>
    <w:rsid w:val="00490288"/>
    <w:rsid w:val="004904C3"/>
    <w:rsid w:val="00490730"/>
    <w:rsid w:val="00491514"/>
    <w:rsid w:val="00491EC3"/>
    <w:rsid w:val="00492393"/>
    <w:rsid w:val="00492D36"/>
    <w:rsid w:val="00492F09"/>
    <w:rsid w:val="004934DA"/>
    <w:rsid w:val="0049399F"/>
    <w:rsid w:val="004939E1"/>
    <w:rsid w:val="004945D1"/>
    <w:rsid w:val="00495623"/>
    <w:rsid w:val="00495A01"/>
    <w:rsid w:val="00496EF1"/>
    <w:rsid w:val="00497362"/>
    <w:rsid w:val="004975EB"/>
    <w:rsid w:val="004977B4"/>
    <w:rsid w:val="0049790C"/>
    <w:rsid w:val="00497DA8"/>
    <w:rsid w:val="004A0710"/>
    <w:rsid w:val="004A1398"/>
    <w:rsid w:val="004A13ED"/>
    <w:rsid w:val="004A164A"/>
    <w:rsid w:val="004A1DA1"/>
    <w:rsid w:val="004A1EB1"/>
    <w:rsid w:val="004A23A7"/>
    <w:rsid w:val="004A258B"/>
    <w:rsid w:val="004A2656"/>
    <w:rsid w:val="004A289A"/>
    <w:rsid w:val="004A2A96"/>
    <w:rsid w:val="004A2ADE"/>
    <w:rsid w:val="004A2D44"/>
    <w:rsid w:val="004A2F84"/>
    <w:rsid w:val="004A3488"/>
    <w:rsid w:val="004A3D90"/>
    <w:rsid w:val="004A3DCC"/>
    <w:rsid w:val="004A426C"/>
    <w:rsid w:val="004A5328"/>
    <w:rsid w:val="004A656C"/>
    <w:rsid w:val="004A6EE1"/>
    <w:rsid w:val="004A7F8C"/>
    <w:rsid w:val="004B08BB"/>
    <w:rsid w:val="004B0E6C"/>
    <w:rsid w:val="004B0FAA"/>
    <w:rsid w:val="004B13B0"/>
    <w:rsid w:val="004B14B6"/>
    <w:rsid w:val="004B194D"/>
    <w:rsid w:val="004B1D43"/>
    <w:rsid w:val="004B1F75"/>
    <w:rsid w:val="004B3599"/>
    <w:rsid w:val="004B35E1"/>
    <w:rsid w:val="004B385B"/>
    <w:rsid w:val="004B4131"/>
    <w:rsid w:val="004B41F6"/>
    <w:rsid w:val="004B494C"/>
    <w:rsid w:val="004B4C46"/>
    <w:rsid w:val="004B5242"/>
    <w:rsid w:val="004B589C"/>
    <w:rsid w:val="004B5921"/>
    <w:rsid w:val="004B5A9A"/>
    <w:rsid w:val="004B61B0"/>
    <w:rsid w:val="004B6D0C"/>
    <w:rsid w:val="004B6DE6"/>
    <w:rsid w:val="004B6F3D"/>
    <w:rsid w:val="004B7185"/>
    <w:rsid w:val="004B71DD"/>
    <w:rsid w:val="004B7415"/>
    <w:rsid w:val="004B771A"/>
    <w:rsid w:val="004B7B88"/>
    <w:rsid w:val="004C110B"/>
    <w:rsid w:val="004C13CF"/>
    <w:rsid w:val="004C1857"/>
    <w:rsid w:val="004C2BD4"/>
    <w:rsid w:val="004C2D81"/>
    <w:rsid w:val="004C2F41"/>
    <w:rsid w:val="004C3304"/>
    <w:rsid w:val="004C3566"/>
    <w:rsid w:val="004C3592"/>
    <w:rsid w:val="004C3705"/>
    <w:rsid w:val="004C3816"/>
    <w:rsid w:val="004C3BE7"/>
    <w:rsid w:val="004C40BC"/>
    <w:rsid w:val="004C4295"/>
    <w:rsid w:val="004C4F65"/>
    <w:rsid w:val="004C50DF"/>
    <w:rsid w:val="004C5629"/>
    <w:rsid w:val="004C5C84"/>
    <w:rsid w:val="004C5E28"/>
    <w:rsid w:val="004C6C20"/>
    <w:rsid w:val="004C700F"/>
    <w:rsid w:val="004C707D"/>
    <w:rsid w:val="004C7703"/>
    <w:rsid w:val="004D0403"/>
    <w:rsid w:val="004D04BE"/>
    <w:rsid w:val="004D0C68"/>
    <w:rsid w:val="004D10C3"/>
    <w:rsid w:val="004D143A"/>
    <w:rsid w:val="004D1B0A"/>
    <w:rsid w:val="004D1C36"/>
    <w:rsid w:val="004D1DDD"/>
    <w:rsid w:val="004D1F10"/>
    <w:rsid w:val="004D231C"/>
    <w:rsid w:val="004D24E1"/>
    <w:rsid w:val="004D2E6C"/>
    <w:rsid w:val="004D2F34"/>
    <w:rsid w:val="004D313C"/>
    <w:rsid w:val="004D43E7"/>
    <w:rsid w:val="004D44BE"/>
    <w:rsid w:val="004D46AC"/>
    <w:rsid w:val="004D4F0F"/>
    <w:rsid w:val="004D5496"/>
    <w:rsid w:val="004D6124"/>
    <w:rsid w:val="004D64D7"/>
    <w:rsid w:val="004D6B4E"/>
    <w:rsid w:val="004D6B9E"/>
    <w:rsid w:val="004D7226"/>
    <w:rsid w:val="004D74A7"/>
    <w:rsid w:val="004D7965"/>
    <w:rsid w:val="004D7A19"/>
    <w:rsid w:val="004D7C62"/>
    <w:rsid w:val="004E093C"/>
    <w:rsid w:val="004E16A3"/>
    <w:rsid w:val="004E185A"/>
    <w:rsid w:val="004E18D5"/>
    <w:rsid w:val="004E1DE6"/>
    <w:rsid w:val="004E21D7"/>
    <w:rsid w:val="004E23A0"/>
    <w:rsid w:val="004E25F0"/>
    <w:rsid w:val="004E295A"/>
    <w:rsid w:val="004E33FB"/>
    <w:rsid w:val="004E3F2A"/>
    <w:rsid w:val="004E44CE"/>
    <w:rsid w:val="004E4945"/>
    <w:rsid w:val="004E496D"/>
    <w:rsid w:val="004E4E4C"/>
    <w:rsid w:val="004E54B7"/>
    <w:rsid w:val="004E5C71"/>
    <w:rsid w:val="004E5D63"/>
    <w:rsid w:val="004E5E97"/>
    <w:rsid w:val="004E60BE"/>
    <w:rsid w:val="004E60FC"/>
    <w:rsid w:val="004E61AB"/>
    <w:rsid w:val="004E6BBB"/>
    <w:rsid w:val="004E6E9F"/>
    <w:rsid w:val="004E7148"/>
    <w:rsid w:val="004E7B14"/>
    <w:rsid w:val="004E7DD4"/>
    <w:rsid w:val="004E7E8C"/>
    <w:rsid w:val="004E7F5F"/>
    <w:rsid w:val="004F0411"/>
    <w:rsid w:val="004F05A2"/>
    <w:rsid w:val="004F087B"/>
    <w:rsid w:val="004F09D7"/>
    <w:rsid w:val="004F0A7A"/>
    <w:rsid w:val="004F0EE3"/>
    <w:rsid w:val="004F17AE"/>
    <w:rsid w:val="004F1A96"/>
    <w:rsid w:val="004F1B3D"/>
    <w:rsid w:val="004F1E96"/>
    <w:rsid w:val="004F2371"/>
    <w:rsid w:val="004F25E7"/>
    <w:rsid w:val="004F2765"/>
    <w:rsid w:val="004F30D5"/>
    <w:rsid w:val="004F35C7"/>
    <w:rsid w:val="004F3973"/>
    <w:rsid w:val="004F3A95"/>
    <w:rsid w:val="004F3D2E"/>
    <w:rsid w:val="004F4D1F"/>
    <w:rsid w:val="004F4EF9"/>
    <w:rsid w:val="004F619A"/>
    <w:rsid w:val="004F61EE"/>
    <w:rsid w:val="004F6881"/>
    <w:rsid w:val="004F6BBC"/>
    <w:rsid w:val="004F6F09"/>
    <w:rsid w:val="004F7020"/>
    <w:rsid w:val="004F765A"/>
    <w:rsid w:val="004F77E3"/>
    <w:rsid w:val="004F7D47"/>
    <w:rsid w:val="0050028B"/>
    <w:rsid w:val="005006AC"/>
    <w:rsid w:val="00500FE4"/>
    <w:rsid w:val="00501056"/>
    <w:rsid w:val="00501194"/>
    <w:rsid w:val="005014E5"/>
    <w:rsid w:val="00501849"/>
    <w:rsid w:val="005018D3"/>
    <w:rsid w:val="005030F9"/>
    <w:rsid w:val="00503155"/>
    <w:rsid w:val="005033FB"/>
    <w:rsid w:val="00503829"/>
    <w:rsid w:val="00503876"/>
    <w:rsid w:val="005038AC"/>
    <w:rsid w:val="0050393F"/>
    <w:rsid w:val="00503E1F"/>
    <w:rsid w:val="005044E5"/>
    <w:rsid w:val="00504688"/>
    <w:rsid w:val="0050478F"/>
    <w:rsid w:val="005049F5"/>
    <w:rsid w:val="00504EF4"/>
    <w:rsid w:val="00504EFB"/>
    <w:rsid w:val="00505013"/>
    <w:rsid w:val="00505067"/>
    <w:rsid w:val="0050527A"/>
    <w:rsid w:val="005053EA"/>
    <w:rsid w:val="005054C8"/>
    <w:rsid w:val="0050588B"/>
    <w:rsid w:val="00505A8A"/>
    <w:rsid w:val="005061A3"/>
    <w:rsid w:val="0050627D"/>
    <w:rsid w:val="005068C8"/>
    <w:rsid w:val="00507270"/>
    <w:rsid w:val="005073E4"/>
    <w:rsid w:val="0050774A"/>
    <w:rsid w:val="00507D97"/>
    <w:rsid w:val="00507F50"/>
    <w:rsid w:val="00510250"/>
    <w:rsid w:val="0051078E"/>
    <w:rsid w:val="00510A98"/>
    <w:rsid w:val="0051143E"/>
    <w:rsid w:val="00511BCF"/>
    <w:rsid w:val="00512067"/>
    <w:rsid w:val="0051260C"/>
    <w:rsid w:val="005128D2"/>
    <w:rsid w:val="00512CCE"/>
    <w:rsid w:val="00512EBD"/>
    <w:rsid w:val="00514276"/>
    <w:rsid w:val="00516680"/>
    <w:rsid w:val="005168A1"/>
    <w:rsid w:val="00516A14"/>
    <w:rsid w:val="00516E3D"/>
    <w:rsid w:val="0051751E"/>
    <w:rsid w:val="005178C3"/>
    <w:rsid w:val="00517C11"/>
    <w:rsid w:val="00520FBD"/>
    <w:rsid w:val="005210F2"/>
    <w:rsid w:val="00521374"/>
    <w:rsid w:val="00521D64"/>
    <w:rsid w:val="005222E7"/>
    <w:rsid w:val="00522AB7"/>
    <w:rsid w:val="00523A68"/>
    <w:rsid w:val="00523BA5"/>
    <w:rsid w:val="00525765"/>
    <w:rsid w:val="00525870"/>
    <w:rsid w:val="00525DC9"/>
    <w:rsid w:val="00527252"/>
    <w:rsid w:val="00530025"/>
    <w:rsid w:val="005308BB"/>
    <w:rsid w:val="00530E8D"/>
    <w:rsid w:val="005329A6"/>
    <w:rsid w:val="005335BF"/>
    <w:rsid w:val="00533F65"/>
    <w:rsid w:val="00533FC7"/>
    <w:rsid w:val="00534089"/>
    <w:rsid w:val="00534C2E"/>
    <w:rsid w:val="005350A9"/>
    <w:rsid w:val="005353CB"/>
    <w:rsid w:val="00535A3B"/>
    <w:rsid w:val="00536D21"/>
    <w:rsid w:val="00536E77"/>
    <w:rsid w:val="00536E79"/>
    <w:rsid w:val="00537145"/>
    <w:rsid w:val="005371F2"/>
    <w:rsid w:val="00537213"/>
    <w:rsid w:val="0053753C"/>
    <w:rsid w:val="005375C2"/>
    <w:rsid w:val="0053790A"/>
    <w:rsid w:val="00537BD3"/>
    <w:rsid w:val="0054010D"/>
    <w:rsid w:val="00540411"/>
    <w:rsid w:val="005408B4"/>
    <w:rsid w:val="00540CE4"/>
    <w:rsid w:val="00541047"/>
    <w:rsid w:val="005414DD"/>
    <w:rsid w:val="00541F3D"/>
    <w:rsid w:val="0054243D"/>
    <w:rsid w:val="005427A9"/>
    <w:rsid w:val="00542C2C"/>
    <w:rsid w:val="005431BB"/>
    <w:rsid w:val="0054325D"/>
    <w:rsid w:val="00543377"/>
    <w:rsid w:val="0054343C"/>
    <w:rsid w:val="0054348A"/>
    <w:rsid w:val="00543835"/>
    <w:rsid w:val="00543862"/>
    <w:rsid w:val="0054488C"/>
    <w:rsid w:val="00545540"/>
    <w:rsid w:val="00545BF0"/>
    <w:rsid w:val="00545F7A"/>
    <w:rsid w:val="00546039"/>
    <w:rsid w:val="005471AF"/>
    <w:rsid w:val="0054767F"/>
    <w:rsid w:val="00547C6C"/>
    <w:rsid w:val="00547C85"/>
    <w:rsid w:val="00547F41"/>
    <w:rsid w:val="00550C99"/>
    <w:rsid w:val="00550CC1"/>
    <w:rsid w:val="00550E19"/>
    <w:rsid w:val="00551B88"/>
    <w:rsid w:val="00551C0D"/>
    <w:rsid w:val="00551D5B"/>
    <w:rsid w:val="00552E06"/>
    <w:rsid w:val="00552E30"/>
    <w:rsid w:val="0055318C"/>
    <w:rsid w:val="005532A2"/>
    <w:rsid w:val="005537E3"/>
    <w:rsid w:val="00553817"/>
    <w:rsid w:val="00553AE0"/>
    <w:rsid w:val="00553B4B"/>
    <w:rsid w:val="00554032"/>
    <w:rsid w:val="00554D22"/>
    <w:rsid w:val="00554F5A"/>
    <w:rsid w:val="0055502D"/>
    <w:rsid w:val="005553AE"/>
    <w:rsid w:val="00555D8F"/>
    <w:rsid w:val="00555E5E"/>
    <w:rsid w:val="005562A9"/>
    <w:rsid w:val="00556823"/>
    <w:rsid w:val="00556A19"/>
    <w:rsid w:val="00556CB4"/>
    <w:rsid w:val="00556D3F"/>
    <w:rsid w:val="00556E8B"/>
    <w:rsid w:val="005573EA"/>
    <w:rsid w:val="00557992"/>
    <w:rsid w:val="00557B2B"/>
    <w:rsid w:val="00560921"/>
    <w:rsid w:val="00560C18"/>
    <w:rsid w:val="00560CF7"/>
    <w:rsid w:val="00561164"/>
    <w:rsid w:val="00561350"/>
    <w:rsid w:val="00561487"/>
    <w:rsid w:val="005615E7"/>
    <w:rsid w:val="0056167A"/>
    <w:rsid w:val="00561895"/>
    <w:rsid w:val="0056190A"/>
    <w:rsid w:val="00561A79"/>
    <w:rsid w:val="00561CDD"/>
    <w:rsid w:val="00561D39"/>
    <w:rsid w:val="00561E54"/>
    <w:rsid w:val="00561F99"/>
    <w:rsid w:val="0056241E"/>
    <w:rsid w:val="005624F6"/>
    <w:rsid w:val="00562AEC"/>
    <w:rsid w:val="0056315C"/>
    <w:rsid w:val="005639E0"/>
    <w:rsid w:val="00563BC3"/>
    <w:rsid w:val="00563C9D"/>
    <w:rsid w:val="005646EB"/>
    <w:rsid w:val="00564997"/>
    <w:rsid w:val="00564B1D"/>
    <w:rsid w:val="00565E64"/>
    <w:rsid w:val="00566D0C"/>
    <w:rsid w:val="00567197"/>
    <w:rsid w:val="00567F40"/>
    <w:rsid w:val="005706CC"/>
    <w:rsid w:val="005708EA"/>
    <w:rsid w:val="00571075"/>
    <w:rsid w:val="0057119B"/>
    <w:rsid w:val="0057183C"/>
    <w:rsid w:val="00572377"/>
    <w:rsid w:val="00573203"/>
    <w:rsid w:val="00573BB4"/>
    <w:rsid w:val="00573CD3"/>
    <w:rsid w:val="00573ECE"/>
    <w:rsid w:val="0057419D"/>
    <w:rsid w:val="005743A2"/>
    <w:rsid w:val="005744B4"/>
    <w:rsid w:val="00574586"/>
    <w:rsid w:val="00574C26"/>
    <w:rsid w:val="00574EEF"/>
    <w:rsid w:val="005750ED"/>
    <w:rsid w:val="005752F3"/>
    <w:rsid w:val="00575B22"/>
    <w:rsid w:val="005760BE"/>
    <w:rsid w:val="00576119"/>
    <w:rsid w:val="00576462"/>
    <w:rsid w:val="005767C0"/>
    <w:rsid w:val="00576828"/>
    <w:rsid w:val="005773AB"/>
    <w:rsid w:val="0057754E"/>
    <w:rsid w:val="00577621"/>
    <w:rsid w:val="005779C0"/>
    <w:rsid w:val="00577B1B"/>
    <w:rsid w:val="00577D06"/>
    <w:rsid w:val="00577E55"/>
    <w:rsid w:val="005801D7"/>
    <w:rsid w:val="0058064C"/>
    <w:rsid w:val="00580775"/>
    <w:rsid w:val="00580807"/>
    <w:rsid w:val="00580CC8"/>
    <w:rsid w:val="00580DEA"/>
    <w:rsid w:val="0058115C"/>
    <w:rsid w:val="00581E8B"/>
    <w:rsid w:val="00582E3A"/>
    <w:rsid w:val="00583EF3"/>
    <w:rsid w:val="00583F78"/>
    <w:rsid w:val="00583FC2"/>
    <w:rsid w:val="005843F4"/>
    <w:rsid w:val="00584558"/>
    <w:rsid w:val="0058513E"/>
    <w:rsid w:val="005857D0"/>
    <w:rsid w:val="00585819"/>
    <w:rsid w:val="00585934"/>
    <w:rsid w:val="0058653D"/>
    <w:rsid w:val="00586626"/>
    <w:rsid w:val="00586942"/>
    <w:rsid w:val="00586AA3"/>
    <w:rsid w:val="00586CDF"/>
    <w:rsid w:val="00587013"/>
    <w:rsid w:val="00587113"/>
    <w:rsid w:val="005875F7"/>
    <w:rsid w:val="00587C0C"/>
    <w:rsid w:val="00587D17"/>
    <w:rsid w:val="005900B4"/>
    <w:rsid w:val="0059153F"/>
    <w:rsid w:val="00591D58"/>
    <w:rsid w:val="0059268A"/>
    <w:rsid w:val="005926D5"/>
    <w:rsid w:val="00592751"/>
    <w:rsid w:val="0059287E"/>
    <w:rsid w:val="00592DF0"/>
    <w:rsid w:val="0059334F"/>
    <w:rsid w:val="005933FB"/>
    <w:rsid w:val="00593528"/>
    <w:rsid w:val="00593880"/>
    <w:rsid w:val="005941D1"/>
    <w:rsid w:val="005945F8"/>
    <w:rsid w:val="005949DB"/>
    <w:rsid w:val="00594DC3"/>
    <w:rsid w:val="00595180"/>
    <w:rsid w:val="00595619"/>
    <w:rsid w:val="0059563A"/>
    <w:rsid w:val="0059571A"/>
    <w:rsid w:val="00595830"/>
    <w:rsid w:val="005962AC"/>
    <w:rsid w:val="005964B7"/>
    <w:rsid w:val="00596670"/>
    <w:rsid w:val="00596A15"/>
    <w:rsid w:val="00596F92"/>
    <w:rsid w:val="005972B6"/>
    <w:rsid w:val="005974D6"/>
    <w:rsid w:val="00597F6B"/>
    <w:rsid w:val="005A003E"/>
    <w:rsid w:val="005A02E1"/>
    <w:rsid w:val="005A0725"/>
    <w:rsid w:val="005A0C82"/>
    <w:rsid w:val="005A12B1"/>
    <w:rsid w:val="005A2955"/>
    <w:rsid w:val="005A2CED"/>
    <w:rsid w:val="005A2D47"/>
    <w:rsid w:val="005A2F6B"/>
    <w:rsid w:val="005A300A"/>
    <w:rsid w:val="005A37EE"/>
    <w:rsid w:val="005A3DB0"/>
    <w:rsid w:val="005A3F01"/>
    <w:rsid w:val="005A4E69"/>
    <w:rsid w:val="005A4EAB"/>
    <w:rsid w:val="005A6018"/>
    <w:rsid w:val="005A645F"/>
    <w:rsid w:val="005A6A3D"/>
    <w:rsid w:val="005A6EFE"/>
    <w:rsid w:val="005A6F29"/>
    <w:rsid w:val="005A7560"/>
    <w:rsid w:val="005A7568"/>
    <w:rsid w:val="005A7AEB"/>
    <w:rsid w:val="005A7CC5"/>
    <w:rsid w:val="005A7F4E"/>
    <w:rsid w:val="005B0BC3"/>
    <w:rsid w:val="005B0E0F"/>
    <w:rsid w:val="005B0E96"/>
    <w:rsid w:val="005B1058"/>
    <w:rsid w:val="005B121A"/>
    <w:rsid w:val="005B1551"/>
    <w:rsid w:val="005B1C68"/>
    <w:rsid w:val="005B1D56"/>
    <w:rsid w:val="005B1D8E"/>
    <w:rsid w:val="005B22E3"/>
    <w:rsid w:val="005B290A"/>
    <w:rsid w:val="005B29CA"/>
    <w:rsid w:val="005B2BA3"/>
    <w:rsid w:val="005B2BF8"/>
    <w:rsid w:val="005B2C15"/>
    <w:rsid w:val="005B2EA3"/>
    <w:rsid w:val="005B3127"/>
    <w:rsid w:val="005B385E"/>
    <w:rsid w:val="005B39FE"/>
    <w:rsid w:val="005B5040"/>
    <w:rsid w:val="005B5063"/>
    <w:rsid w:val="005B50AD"/>
    <w:rsid w:val="005B5B00"/>
    <w:rsid w:val="005B5B6D"/>
    <w:rsid w:val="005B640E"/>
    <w:rsid w:val="005B66FD"/>
    <w:rsid w:val="005B6702"/>
    <w:rsid w:val="005B6BF7"/>
    <w:rsid w:val="005B7429"/>
    <w:rsid w:val="005B75A2"/>
    <w:rsid w:val="005B76DF"/>
    <w:rsid w:val="005C0110"/>
    <w:rsid w:val="005C02DC"/>
    <w:rsid w:val="005C06D9"/>
    <w:rsid w:val="005C0C10"/>
    <w:rsid w:val="005C0EFD"/>
    <w:rsid w:val="005C15F2"/>
    <w:rsid w:val="005C1F5E"/>
    <w:rsid w:val="005C231D"/>
    <w:rsid w:val="005C2346"/>
    <w:rsid w:val="005C3380"/>
    <w:rsid w:val="005C36BE"/>
    <w:rsid w:val="005C36C7"/>
    <w:rsid w:val="005C3BAE"/>
    <w:rsid w:val="005C43D2"/>
    <w:rsid w:val="005C4AD1"/>
    <w:rsid w:val="005C4B2E"/>
    <w:rsid w:val="005C4C85"/>
    <w:rsid w:val="005C4D82"/>
    <w:rsid w:val="005C4D89"/>
    <w:rsid w:val="005C4EB5"/>
    <w:rsid w:val="005C4F15"/>
    <w:rsid w:val="005C5334"/>
    <w:rsid w:val="005C5448"/>
    <w:rsid w:val="005C58F8"/>
    <w:rsid w:val="005C6800"/>
    <w:rsid w:val="005C687A"/>
    <w:rsid w:val="005C733F"/>
    <w:rsid w:val="005C7B6C"/>
    <w:rsid w:val="005D0128"/>
    <w:rsid w:val="005D0368"/>
    <w:rsid w:val="005D0BF7"/>
    <w:rsid w:val="005D0E29"/>
    <w:rsid w:val="005D0E59"/>
    <w:rsid w:val="005D1182"/>
    <w:rsid w:val="005D11D9"/>
    <w:rsid w:val="005D13E1"/>
    <w:rsid w:val="005D158E"/>
    <w:rsid w:val="005D1BB8"/>
    <w:rsid w:val="005D1F7B"/>
    <w:rsid w:val="005D2474"/>
    <w:rsid w:val="005D2F22"/>
    <w:rsid w:val="005D2F48"/>
    <w:rsid w:val="005D32F6"/>
    <w:rsid w:val="005D3B8E"/>
    <w:rsid w:val="005D400B"/>
    <w:rsid w:val="005D467B"/>
    <w:rsid w:val="005D5153"/>
    <w:rsid w:val="005D54C2"/>
    <w:rsid w:val="005D5557"/>
    <w:rsid w:val="005D58B1"/>
    <w:rsid w:val="005D5D06"/>
    <w:rsid w:val="005D64AA"/>
    <w:rsid w:val="005D6848"/>
    <w:rsid w:val="005D6DD9"/>
    <w:rsid w:val="005D72EF"/>
    <w:rsid w:val="005D7A56"/>
    <w:rsid w:val="005E0765"/>
    <w:rsid w:val="005E0B92"/>
    <w:rsid w:val="005E0D50"/>
    <w:rsid w:val="005E152F"/>
    <w:rsid w:val="005E196D"/>
    <w:rsid w:val="005E19DA"/>
    <w:rsid w:val="005E2B43"/>
    <w:rsid w:val="005E32A2"/>
    <w:rsid w:val="005E35DC"/>
    <w:rsid w:val="005E362F"/>
    <w:rsid w:val="005E38CC"/>
    <w:rsid w:val="005E46A4"/>
    <w:rsid w:val="005E4804"/>
    <w:rsid w:val="005E64DF"/>
    <w:rsid w:val="005E667B"/>
    <w:rsid w:val="005E6919"/>
    <w:rsid w:val="005E720F"/>
    <w:rsid w:val="005E721F"/>
    <w:rsid w:val="005E78F4"/>
    <w:rsid w:val="005E7BFA"/>
    <w:rsid w:val="005F0319"/>
    <w:rsid w:val="005F0636"/>
    <w:rsid w:val="005F06D5"/>
    <w:rsid w:val="005F0D0C"/>
    <w:rsid w:val="005F10C5"/>
    <w:rsid w:val="005F151F"/>
    <w:rsid w:val="005F1D49"/>
    <w:rsid w:val="005F2415"/>
    <w:rsid w:val="005F2B4F"/>
    <w:rsid w:val="005F328F"/>
    <w:rsid w:val="005F403C"/>
    <w:rsid w:val="005F4797"/>
    <w:rsid w:val="005F4C81"/>
    <w:rsid w:val="005F4E17"/>
    <w:rsid w:val="005F51E7"/>
    <w:rsid w:val="005F5BF9"/>
    <w:rsid w:val="005F5DB8"/>
    <w:rsid w:val="005F6120"/>
    <w:rsid w:val="005F6B2A"/>
    <w:rsid w:val="005F6E10"/>
    <w:rsid w:val="005F6EF4"/>
    <w:rsid w:val="005F728E"/>
    <w:rsid w:val="005F7355"/>
    <w:rsid w:val="005F7933"/>
    <w:rsid w:val="00600107"/>
    <w:rsid w:val="00600385"/>
    <w:rsid w:val="0060045E"/>
    <w:rsid w:val="00600498"/>
    <w:rsid w:val="0060089C"/>
    <w:rsid w:val="00600CC8"/>
    <w:rsid w:val="00600E2D"/>
    <w:rsid w:val="00601214"/>
    <w:rsid w:val="0060171D"/>
    <w:rsid w:val="0060179A"/>
    <w:rsid w:val="00601CAB"/>
    <w:rsid w:val="006026EB"/>
    <w:rsid w:val="00602DD3"/>
    <w:rsid w:val="0060343C"/>
    <w:rsid w:val="00603610"/>
    <w:rsid w:val="0060589E"/>
    <w:rsid w:val="006058FE"/>
    <w:rsid w:val="00605959"/>
    <w:rsid w:val="006066FC"/>
    <w:rsid w:val="00606AA8"/>
    <w:rsid w:val="0060740A"/>
    <w:rsid w:val="006075C7"/>
    <w:rsid w:val="006078B9"/>
    <w:rsid w:val="00607AF1"/>
    <w:rsid w:val="00607D87"/>
    <w:rsid w:val="0061063A"/>
    <w:rsid w:val="006109D4"/>
    <w:rsid w:val="00610AE5"/>
    <w:rsid w:val="00611105"/>
    <w:rsid w:val="00611468"/>
    <w:rsid w:val="006117CA"/>
    <w:rsid w:val="0061214F"/>
    <w:rsid w:val="00612244"/>
    <w:rsid w:val="006122FC"/>
    <w:rsid w:val="00613206"/>
    <w:rsid w:val="00613454"/>
    <w:rsid w:val="0061429C"/>
    <w:rsid w:val="006144CD"/>
    <w:rsid w:val="006147BE"/>
    <w:rsid w:val="00614DE5"/>
    <w:rsid w:val="00614F12"/>
    <w:rsid w:val="0061516F"/>
    <w:rsid w:val="006151A8"/>
    <w:rsid w:val="0061528F"/>
    <w:rsid w:val="00616219"/>
    <w:rsid w:val="006162FD"/>
    <w:rsid w:val="006167D8"/>
    <w:rsid w:val="00617083"/>
    <w:rsid w:val="006172DD"/>
    <w:rsid w:val="00620924"/>
    <w:rsid w:val="00620E46"/>
    <w:rsid w:val="0062104A"/>
    <w:rsid w:val="00621154"/>
    <w:rsid w:val="0062121E"/>
    <w:rsid w:val="00621555"/>
    <w:rsid w:val="00621766"/>
    <w:rsid w:val="0062263F"/>
    <w:rsid w:val="00622A43"/>
    <w:rsid w:val="0062340C"/>
    <w:rsid w:val="00623A27"/>
    <w:rsid w:val="00623AC5"/>
    <w:rsid w:val="0062403E"/>
    <w:rsid w:val="006244BD"/>
    <w:rsid w:val="006248EB"/>
    <w:rsid w:val="006249AA"/>
    <w:rsid w:val="00624A94"/>
    <w:rsid w:val="00624BE3"/>
    <w:rsid w:val="006254B3"/>
    <w:rsid w:val="0062586B"/>
    <w:rsid w:val="00625AF0"/>
    <w:rsid w:val="00625C73"/>
    <w:rsid w:val="00625D8E"/>
    <w:rsid w:val="00625EB6"/>
    <w:rsid w:val="0062667D"/>
    <w:rsid w:val="00626BE1"/>
    <w:rsid w:val="00626C53"/>
    <w:rsid w:val="00626DB8"/>
    <w:rsid w:val="00627231"/>
    <w:rsid w:val="00627447"/>
    <w:rsid w:val="006276BF"/>
    <w:rsid w:val="0062781E"/>
    <w:rsid w:val="00627B46"/>
    <w:rsid w:val="00630528"/>
    <w:rsid w:val="00630BE2"/>
    <w:rsid w:val="006318A3"/>
    <w:rsid w:val="006319E1"/>
    <w:rsid w:val="00631B42"/>
    <w:rsid w:val="00632A40"/>
    <w:rsid w:val="00632D40"/>
    <w:rsid w:val="0063338A"/>
    <w:rsid w:val="00633710"/>
    <w:rsid w:val="00633BC7"/>
    <w:rsid w:val="00633D20"/>
    <w:rsid w:val="0063442D"/>
    <w:rsid w:val="00634497"/>
    <w:rsid w:val="006344D4"/>
    <w:rsid w:val="006347ED"/>
    <w:rsid w:val="006364C8"/>
    <w:rsid w:val="00636515"/>
    <w:rsid w:val="006369CD"/>
    <w:rsid w:val="00636C74"/>
    <w:rsid w:val="00637866"/>
    <w:rsid w:val="006402C5"/>
    <w:rsid w:val="006404DE"/>
    <w:rsid w:val="006415BF"/>
    <w:rsid w:val="00641EE5"/>
    <w:rsid w:val="006422F1"/>
    <w:rsid w:val="00642FCF"/>
    <w:rsid w:val="006433F9"/>
    <w:rsid w:val="006436AB"/>
    <w:rsid w:val="00643939"/>
    <w:rsid w:val="00643AC5"/>
    <w:rsid w:val="00643C28"/>
    <w:rsid w:val="0064419E"/>
    <w:rsid w:val="00644ED6"/>
    <w:rsid w:val="006459F6"/>
    <w:rsid w:val="006463E7"/>
    <w:rsid w:val="0064667C"/>
    <w:rsid w:val="0064679B"/>
    <w:rsid w:val="00646CC6"/>
    <w:rsid w:val="00646D6D"/>
    <w:rsid w:val="0064738E"/>
    <w:rsid w:val="006474AA"/>
    <w:rsid w:val="006475CC"/>
    <w:rsid w:val="00647C53"/>
    <w:rsid w:val="00647F69"/>
    <w:rsid w:val="0065023C"/>
    <w:rsid w:val="00650669"/>
    <w:rsid w:val="00651E20"/>
    <w:rsid w:val="00651E78"/>
    <w:rsid w:val="0065209B"/>
    <w:rsid w:val="00652185"/>
    <w:rsid w:val="00652476"/>
    <w:rsid w:val="006527AA"/>
    <w:rsid w:val="00652919"/>
    <w:rsid w:val="0065299E"/>
    <w:rsid w:val="00652FCC"/>
    <w:rsid w:val="0065312A"/>
    <w:rsid w:val="00653172"/>
    <w:rsid w:val="006538DD"/>
    <w:rsid w:val="006539BA"/>
    <w:rsid w:val="00653DAF"/>
    <w:rsid w:val="006549ED"/>
    <w:rsid w:val="00654CDB"/>
    <w:rsid w:val="00655244"/>
    <w:rsid w:val="0065548F"/>
    <w:rsid w:val="0065569C"/>
    <w:rsid w:val="00655B9A"/>
    <w:rsid w:val="00656329"/>
    <w:rsid w:val="00656461"/>
    <w:rsid w:val="00656513"/>
    <w:rsid w:val="006571F2"/>
    <w:rsid w:val="00657202"/>
    <w:rsid w:val="0065733B"/>
    <w:rsid w:val="006573FB"/>
    <w:rsid w:val="00657542"/>
    <w:rsid w:val="00657D9A"/>
    <w:rsid w:val="00660236"/>
    <w:rsid w:val="00661F42"/>
    <w:rsid w:val="00662104"/>
    <w:rsid w:val="006628CB"/>
    <w:rsid w:val="00662BA9"/>
    <w:rsid w:val="00662C4C"/>
    <w:rsid w:val="00662E76"/>
    <w:rsid w:val="0066343D"/>
    <w:rsid w:val="0066358B"/>
    <w:rsid w:val="006636E5"/>
    <w:rsid w:val="0066386F"/>
    <w:rsid w:val="00663F30"/>
    <w:rsid w:val="0066417B"/>
    <w:rsid w:val="006643F7"/>
    <w:rsid w:val="00664A51"/>
    <w:rsid w:val="00664ECC"/>
    <w:rsid w:val="006655C1"/>
    <w:rsid w:val="00665D5C"/>
    <w:rsid w:val="0066632B"/>
    <w:rsid w:val="006669E4"/>
    <w:rsid w:val="00666EFF"/>
    <w:rsid w:val="006674A2"/>
    <w:rsid w:val="00667556"/>
    <w:rsid w:val="00667D46"/>
    <w:rsid w:val="0067031F"/>
    <w:rsid w:val="00670655"/>
    <w:rsid w:val="00671382"/>
    <w:rsid w:val="00671400"/>
    <w:rsid w:val="00671C4C"/>
    <w:rsid w:val="0067201A"/>
    <w:rsid w:val="006725E1"/>
    <w:rsid w:val="00672AD0"/>
    <w:rsid w:val="00672B4A"/>
    <w:rsid w:val="00673B4F"/>
    <w:rsid w:val="00674005"/>
    <w:rsid w:val="006748D2"/>
    <w:rsid w:val="00674AD7"/>
    <w:rsid w:val="00675494"/>
    <w:rsid w:val="006757FA"/>
    <w:rsid w:val="00675827"/>
    <w:rsid w:val="006769A9"/>
    <w:rsid w:val="00676D1F"/>
    <w:rsid w:val="00676E18"/>
    <w:rsid w:val="006773B1"/>
    <w:rsid w:val="006774C3"/>
    <w:rsid w:val="00677815"/>
    <w:rsid w:val="0068064A"/>
    <w:rsid w:val="00680683"/>
    <w:rsid w:val="00680B80"/>
    <w:rsid w:val="00680B8A"/>
    <w:rsid w:val="00680CA8"/>
    <w:rsid w:val="00680DDB"/>
    <w:rsid w:val="00681FFF"/>
    <w:rsid w:val="006825B7"/>
    <w:rsid w:val="00682B66"/>
    <w:rsid w:val="00682CF8"/>
    <w:rsid w:val="00682F30"/>
    <w:rsid w:val="00682F43"/>
    <w:rsid w:val="00684969"/>
    <w:rsid w:val="00684B7E"/>
    <w:rsid w:val="006851EF"/>
    <w:rsid w:val="00685D84"/>
    <w:rsid w:val="0068608D"/>
    <w:rsid w:val="00686153"/>
    <w:rsid w:val="00686382"/>
    <w:rsid w:val="00686475"/>
    <w:rsid w:val="00686529"/>
    <w:rsid w:val="00686786"/>
    <w:rsid w:val="0068683B"/>
    <w:rsid w:val="00686A6A"/>
    <w:rsid w:val="00687080"/>
    <w:rsid w:val="0068745A"/>
    <w:rsid w:val="00687BEB"/>
    <w:rsid w:val="00687CC7"/>
    <w:rsid w:val="00690F7C"/>
    <w:rsid w:val="0069120E"/>
    <w:rsid w:val="00691A61"/>
    <w:rsid w:val="00691B4B"/>
    <w:rsid w:val="00691BE0"/>
    <w:rsid w:val="006921F3"/>
    <w:rsid w:val="00692449"/>
    <w:rsid w:val="00692918"/>
    <w:rsid w:val="00692EC7"/>
    <w:rsid w:val="0069354B"/>
    <w:rsid w:val="00693BAD"/>
    <w:rsid w:val="00693CDC"/>
    <w:rsid w:val="00693F88"/>
    <w:rsid w:val="00694380"/>
    <w:rsid w:val="00694384"/>
    <w:rsid w:val="006953B9"/>
    <w:rsid w:val="00695EB3"/>
    <w:rsid w:val="0069659F"/>
    <w:rsid w:val="0069699F"/>
    <w:rsid w:val="00697022"/>
    <w:rsid w:val="006971CE"/>
    <w:rsid w:val="006971FF"/>
    <w:rsid w:val="006975BE"/>
    <w:rsid w:val="00697782"/>
    <w:rsid w:val="00697A3E"/>
    <w:rsid w:val="006A091A"/>
    <w:rsid w:val="006A18BC"/>
    <w:rsid w:val="006A1DE9"/>
    <w:rsid w:val="006A266D"/>
    <w:rsid w:val="006A2944"/>
    <w:rsid w:val="006A325D"/>
    <w:rsid w:val="006A3AD1"/>
    <w:rsid w:val="006A3DFE"/>
    <w:rsid w:val="006A3F56"/>
    <w:rsid w:val="006A4E01"/>
    <w:rsid w:val="006A4E04"/>
    <w:rsid w:val="006A4F9B"/>
    <w:rsid w:val="006A5C20"/>
    <w:rsid w:val="006A5E47"/>
    <w:rsid w:val="006A61AE"/>
    <w:rsid w:val="006A65AA"/>
    <w:rsid w:val="006A67F6"/>
    <w:rsid w:val="006A682D"/>
    <w:rsid w:val="006A6C6A"/>
    <w:rsid w:val="006A7103"/>
    <w:rsid w:val="006A77E6"/>
    <w:rsid w:val="006A78A3"/>
    <w:rsid w:val="006A7AD5"/>
    <w:rsid w:val="006A7E1D"/>
    <w:rsid w:val="006B0C2D"/>
    <w:rsid w:val="006B0C8B"/>
    <w:rsid w:val="006B10E2"/>
    <w:rsid w:val="006B14B9"/>
    <w:rsid w:val="006B1A68"/>
    <w:rsid w:val="006B2049"/>
    <w:rsid w:val="006B229B"/>
    <w:rsid w:val="006B2321"/>
    <w:rsid w:val="006B2704"/>
    <w:rsid w:val="006B27CE"/>
    <w:rsid w:val="006B2C78"/>
    <w:rsid w:val="006B2CAE"/>
    <w:rsid w:val="006B2F13"/>
    <w:rsid w:val="006B2F24"/>
    <w:rsid w:val="006B3671"/>
    <w:rsid w:val="006B39B8"/>
    <w:rsid w:val="006B4346"/>
    <w:rsid w:val="006B4ACC"/>
    <w:rsid w:val="006B4DC9"/>
    <w:rsid w:val="006B5634"/>
    <w:rsid w:val="006B5C17"/>
    <w:rsid w:val="006B5D19"/>
    <w:rsid w:val="006B6844"/>
    <w:rsid w:val="006B6C69"/>
    <w:rsid w:val="006B6F71"/>
    <w:rsid w:val="006B6FED"/>
    <w:rsid w:val="006B72F6"/>
    <w:rsid w:val="006C06B4"/>
    <w:rsid w:val="006C0A36"/>
    <w:rsid w:val="006C0BAC"/>
    <w:rsid w:val="006C1470"/>
    <w:rsid w:val="006C287C"/>
    <w:rsid w:val="006C2AAB"/>
    <w:rsid w:val="006C3AAE"/>
    <w:rsid w:val="006C3C44"/>
    <w:rsid w:val="006C42F8"/>
    <w:rsid w:val="006C473F"/>
    <w:rsid w:val="006C4B1E"/>
    <w:rsid w:val="006C4C54"/>
    <w:rsid w:val="006C4EC2"/>
    <w:rsid w:val="006C54BF"/>
    <w:rsid w:val="006C54DE"/>
    <w:rsid w:val="006C5520"/>
    <w:rsid w:val="006C57CD"/>
    <w:rsid w:val="006C590C"/>
    <w:rsid w:val="006C5D36"/>
    <w:rsid w:val="006C5FC0"/>
    <w:rsid w:val="006C6C19"/>
    <w:rsid w:val="006C6CD7"/>
    <w:rsid w:val="006C71C4"/>
    <w:rsid w:val="006C7877"/>
    <w:rsid w:val="006C7DD0"/>
    <w:rsid w:val="006C7EA4"/>
    <w:rsid w:val="006D0726"/>
    <w:rsid w:val="006D0911"/>
    <w:rsid w:val="006D0F80"/>
    <w:rsid w:val="006D157C"/>
    <w:rsid w:val="006D293C"/>
    <w:rsid w:val="006D3100"/>
    <w:rsid w:val="006D358F"/>
    <w:rsid w:val="006D3896"/>
    <w:rsid w:val="006D3E0C"/>
    <w:rsid w:val="006D4195"/>
    <w:rsid w:val="006D458A"/>
    <w:rsid w:val="006D525B"/>
    <w:rsid w:val="006D562E"/>
    <w:rsid w:val="006D60D5"/>
    <w:rsid w:val="006D6376"/>
    <w:rsid w:val="006D6421"/>
    <w:rsid w:val="006D6767"/>
    <w:rsid w:val="006D6EDB"/>
    <w:rsid w:val="006D7017"/>
    <w:rsid w:val="006D77B6"/>
    <w:rsid w:val="006D7E2B"/>
    <w:rsid w:val="006E073D"/>
    <w:rsid w:val="006E08CF"/>
    <w:rsid w:val="006E0AA9"/>
    <w:rsid w:val="006E188E"/>
    <w:rsid w:val="006E1E8C"/>
    <w:rsid w:val="006E2432"/>
    <w:rsid w:val="006E25A6"/>
    <w:rsid w:val="006E332F"/>
    <w:rsid w:val="006E3B4E"/>
    <w:rsid w:val="006E3FAE"/>
    <w:rsid w:val="006E4297"/>
    <w:rsid w:val="006E482E"/>
    <w:rsid w:val="006E4859"/>
    <w:rsid w:val="006E4C32"/>
    <w:rsid w:val="006E4F33"/>
    <w:rsid w:val="006E517E"/>
    <w:rsid w:val="006E57E8"/>
    <w:rsid w:val="006E619D"/>
    <w:rsid w:val="006E6D8B"/>
    <w:rsid w:val="006E768C"/>
    <w:rsid w:val="006F0BA2"/>
    <w:rsid w:val="006F0D22"/>
    <w:rsid w:val="006F0FDB"/>
    <w:rsid w:val="006F10BE"/>
    <w:rsid w:val="006F25D3"/>
    <w:rsid w:val="006F26E6"/>
    <w:rsid w:val="006F2C6C"/>
    <w:rsid w:val="006F369D"/>
    <w:rsid w:val="006F3723"/>
    <w:rsid w:val="006F3D3E"/>
    <w:rsid w:val="006F565C"/>
    <w:rsid w:val="006F5AF2"/>
    <w:rsid w:val="006F5C66"/>
    <w:rsid w:val="006F6B0D"/>
    <w:rsid w:val="006F6E48"/>
    <w:rsid w:val="006F7323"/>
    <w:rsid w:val="006F7997"/>
    <w:rsid w:val="00700676"/>
    <w:rsid w:val="007007B2"/>
    <w:rsid w:val="00700DB1"/>
    <w:rsid w:val="00701AFC"/>
    <w:rsid w:val="0070228F"/>
    <w:rsid w:val="007026BC"/>
    <w:rsid w:val="00703309"/>
    <w:rsid w:val="007033B0"/>
    <w:rsid w:val="007037A3"/>
    <w:rsid w:val="00703883"/>
    <w:rsid w:val="0070435F"/>
    <w:rsid w:val="007046E0"/>
    <w:rsid w:val="00704BA9"/>
    <w:rsid w:val="00704E76"/>
    <w:rsid w:val="00705769"/>
    <w:rsid w:val="00705820"/>
    <w:rsid w:val="00705916"/>
    <w:rsid w:val="00705A1A"/>
    <w:rsid w:val="00705BB3"/>
    <w:rsid w:val="00705DFD"/>
    <w:rsid w:val="00706387"/>
    <w:rsid w:val="0070672E"/>
    <w:rsid w:val="00706869"/>
    <w:rsid w:val="007068C2"/>
    <w:rsid w:val="00706B83"/>
    <w:rsid w:val="0070713C"/>
    <w:rsid w:val="0070758B"/>
    <w:rsid w:val="007075BA"/>
    <w:rsid w:val="007075E3"/>
    <w:rsid w:val="00707791"/>
    <w:rsid w:val="00707BCB"/>
    <w:rsid w:val="007105D8"/>
    <w:rsid w:val="00710C30"/>
    <w:rsid w:val="007111CA"/>
    <w:rsid w:val="007116A1"/>
    <w:rsid w:val="0071172D"/>
    <w:rsid w:val="007119D5"/>
    <w:rsid w:val="00711C0D"/>
    <w:rsid w:val="00711E11"/>
    <w:rsid w:val="00711F0E"/>
    <w:rsid w:val="0071270F"/>
    <w:rsid w:val="0071299B"/>
    <w:rsid w:val="00713001"/>
    <w:rsid w:val="007131C1"/>
    <w:rsid w:val="0071325B"/>
    <w:rsid w:val="00713613"/>
    <w:rsid w:val="00713FFA"/>
    <w:rsid w:val="0071433F"/>
    <w:rsid w:val="007147FD"/>
    <w:rsid w:val="007152B4"/>
    <w:rsid w:val="00716464"/>
    <w:rsid w:val="00717527"/>
    <w:rsid w:val="00717801"/>
    <w:rsid w:val="00717E53"/>
    <w:rsid w:val="00717FF3"/>
    <w:rsid w:val="0072020E"/>
    <w:rsid w:val="00720495"/>
    <w:rsid w:val="00720873"/>
    <w:rsid w:val="00720F32"/>
    <w:rsid w:val="00721ADF"/>
    <w:rsid w:val="00721F83"/>
    <w:rsid w:val="0072250E"/>
    <w:rsid w:val="00722BF3"/>
    <w:rsid w:val="0072316F"/>
    <w:rsid w:val="00723E80"/>
    <w:rsid w:val="007242E3"/>
    <w:rsid w:val="00724AB3"/>
    <w:rsid w:val="00725607"/>
    <w:rsid w:val="00725823"/>
    <w:rsid w:val="00725AD6"/>
    <w:rsid w:val="00725B77"/>
    <w:rsid w:val="00725CB5"/>
    <w:rsid w:val="00725ED4"/>
    <w:rsid w:val="007265FD"/>
    <w:rsid w:val="00726A1C"/>
    <w:rsid w:val="00726EF3"/>
    <w:rsid w:val="00726F96"/>
    <w:rsid w:val="00727013"/>
    <w:rsid w:val="007274C4"/>
    <w:rsid w:val="00727BCA"/>
    <w:rsid w:val="00727EE4"/>
    <w:rsid w:val="00730B6E"/>
    <w:rsid w:val="00730D3F"/>
    <w:rsid w:val="007314C4"/>
    <w:rsid w:val="007315AF"/>
    <w:rsid w:val="00731DCE"/>
    <w:rsid w:val="00731EE3"/>
    <w:rsid w:val="0073252C"/>
    <w:rsid w:val="00733301"/>
    <w:rsid w:val="007333E7"/>
    <w:rsid w:val="00733BAD"/>
    <w:rsid w:val="007340FE"/>
    <w:rsid w:val="007344E0"/>
    <w:rsid w:val="0073460E"/>
    <w:rsid w:val="007346F9"/>
    <w:rsid w:val="0073487D"/>
    <w:rsid w:val="00734AD7"/>
    <w:rsid w:val="0073631C"/>
    <w:rsid w:val="00736CA2"/>
    <w:rsid w:val="00737238"/>
    <w:rsid w:val="007377C6"/>
    <w:rsid w:val="0074025D"/>
    <w:rsid w:val="007405E6"/>
    <w:rsid w:val="007406E2"/>
    <w:rsid w:val="00740E3F"/>
    <w:rsid w:val="007416CC"/>
    <w:rsid w:val="007416FF"/>
    <w:rsid w:val="00741727"/>
    <w:rsid w:val="00741792"/>
    <w:rsid w:val="007418FF"/>
    <w:rsid w:val="00741EC3"/>
    <w:rsid w:val="00742659"/>
    <w:rsid w:val="00742709"/>
    <w:rsid w:val="0074276E"/>
    <w:rsid w:val="00742B63"/>
    <w:rsid w:val="007432C2"/>
    <w:rsid w:val="00743F31"/>
    <w:rsid w:val="00744093"/>
    <w:rsid w:val="00744B32"/>
    <w:rsid w:val="00744CEC"/>
    <w:rsid w:val="007459E9"/>
    <w:rsid w:val="00745CF9"/>
    <w:rsid w:val="00745F31"/>
    <w:rsid w:val="00745FE0"/>
    <w:rsid w:val="00746470"/>
    <w:rsid w:val="0074695E"/>
    <w:rsid w:val="00747E95"/>
    <w:rsid w:val="00747F42"/>
    <w:rsid w:val="007506E1"/>
    <w:rsid w:val="00750A6B"/>
    <w:rsid w:val="00750F25"/>
    <w:rsid w:val="00751338"/>
    <w:rsid w:val="007513F4"/>
    <w:rsid w:val="0075180B"/>
    <w:rsid w:val="00751814"/>
    <w:rsid w:val="00751F82"/>
    <w:rsid w:val="00752334"/>
    <w:rsid w:val="00752E7D"/>
    <w:rsid w:val="00752F3D"/>
    <w:rsid w:val="00753790"/>
    <w:rsid w:val="007539DE"/>
    <w:rsid w:val="007542AF"/>
    <w:rsid w:val="00754757"/>
    <w:rsid w:val="00755703"/>
    <w:rsid w:val="00755D68"/>
    <w:rsid w:val="00755D9D"/>
    <w:rsid w:val="0075786E"/>
    <w:rsid w:val="00760099"/>
    <w:rsid w:val="00760382"/>
    <w:rsid w:val="00760540"/>
    <w:rsid w:val="0076092E"/>
    <w:rsid w:val="00760D71"/>
    <w:rsid w:val="00760DB1"/>
    <w:rsid w:val="007616C0"/>
    <w:rsid w:val="007620DA"/>
    <w:rsid w:val="0076225D"/>
    <w:rsid w:val="00762D74"/>
    <w:rsid w:val="007631D6"/>
    <w:rsid w:val="00763412"/>
    <w:rsid w:val="00763719"/>
    <w:rsid w:val="00763C98"/>
    <w:rsid w:val="00763E08"/>
    <w:rsid w:val="007645C0"/>
    <w:rsid w:val="0076594F"/>
    <w:rsid w:val="0076624F"/>
    <w:rsid w:val="00766A14"/>
    <w:rsid w:val="0077005F"/>
    <w:rsid w:val="0077040B"/>
    <w:rsid w:val="00770BB6"/>
    <w:rsid w:val="00770D91"/>
    <w:rsid w:val="0077132C"/>
    <w:rsid w:val="00771CA9"/>
    <w:rsid w:val="00771E59"/>
    <w:rsid w:val="007722A9"/>
    <w:rsid w:val="00772457"/>
    <w:rsid w:val="00772845"/>
    <w:rsid w:val="0077285C"/>
    <w:rsid w:val="00772C03"/>
    <w:rsid w:val="00773133"/>
    <w:rsid w:val="00773665"/>
    <w:rsid w:val="00773809"/>
    <w:rsid w:val="0077387E"/>
    <w:rsid w:val="00773A22"/>
    <w:rsid w:val="00773F3B"/>
    <w:rsid w:val="00774BE7"/>
    <w:rsid w:val="00774FEF"/>
    <w:rsid w:val="00775054"/>
    <w:rsid w:val="00775C2A"/>
    <w:rsid w:val="00775D49"/>
    <w:rsid w:val="00776070"/>
    <w:rsid w:val="00776804"/>
    <w:rsid w:val="007768E1"/>
    <w:rsid w:val="00776A22"/>
    <w:rsid w:val="00776A3F"/>
    <w:rsid w:val="00777B17"/>
    <w:rsid w:val="00777D66"/>
    <w:rsid w:val="0078080B"/>
    <w:rsid w:val="00780B07"/>
    <w:rsid w:val="00780D0A"/>
    <w:rsid w:val="007813E2"/>
    <w:rsid w:val="00781422"/>
    <w:rsid w:val="00781D07"/>
    <w:rsid w:val="00782189"/>
    <w:rsid w:val="00782CB3"/>
    <w:rsid w:val="00782D4A"/>
    <w:rsid w:val="007832DC"/>
    <w:rsid w:val="00783E8B"/>
    <w:rsid w:val="00783F50"/>
    <w:rsid w:val="00783F6C"/>
    <w:rsid w:val="00784564"/>
    <w:rsid w:val="00784704"/>
    <w:rsid w:val="00784A0C"/>
    <w:rsid w:val="00784F86"/>
    <w:rsid w:val="00785B50"/>
    <w:rsid w:val="00785FE3"/>
    <w:rsid w:val="00786647"/>
    <w:rsid w:val="0078684C"/>
    <w:rsid w:val="00786BC4"/>
    <w:rsid w:val="00787680"/>
    <w:rsid w:val="0079019B"/>
    <w:rsid w:val="00790383"/>
    <w:rsid w:val="00790736"/>
    <w:rsid w:val="00790AF0"/>
    <w:rsid w:val="00790C5D"/>
    <w:rsid w:val="007913A7"/>
    <w:rsid w:val="00791676"/>
    <w:rsid w:val="007928C8"/>
    <w:rsid w:val="0079293D"/>
    <w:rsid w:val="00792DC9"/>
    <w:rsid w:val="00792EEC"/>
    <w:rsid w:val="00793356"/>
    <w:rsid w:val="00793425"/>
    <w:rsid w:val="0079362D"/>
    <w:rsid w:val="00793690"/>
    <w:rsid w:val="00793B2B"/>
    <w:rsid w:val="0079459B"/>
    <w:rsid w:val="007949E6"/>
    <w:rsid w:val="00794BA6"/>
    <w:rsid w:val="007954DB"/>
    <w:rsid w:val="00797093"/>
    <w:rsid w:val="0079715B"/>
    <w:rsid w:val="00797307"/>
    <w:rsid w:val="007A026F"/>
    <w:rsid w:val="007A0B67"/>
    <w:rsid w:val="007A1293"/>
    <w:rsid w:val="007A1A1A"/>
    <w:rsid w:val="007A3045"/>
    <w:rsid w:val="007A37DF"/>
    <w:rsid w:val="007A3DDC"/>
    <w:rsid w:val="007A4025"/>
    <w:rsid w:val="007A49C0"/>
    <w:rsid w:val="007A5486"/>
    <w:rsid w:val="007A5690"/>
    <w:rsid w:val="007A59AA"/>
    <w:rsid w:val="007A65E9"/>
    <w:rsid w:val="007A6A40"/>
    <w:rsid w:val="007A7131"/>
    <w:rsid w:val="007A754B"/>
    <w:rsid w:val="007A75C3"/>
    <w:rsid w:val="007A7682"/>
    <w:rsid w:val="007A76CB"/>
    <w:rsid w:val="007A79AD"/>
    <w:rsid w:val="007A7B5D"/>
    <w:rsid w:val="007B018B"/>
    <w:rsid w:val="007B0308"/>
    <w:rsid w:val="007B0ABF"/>
    <w:rsid w:val="007B0F4B"/>
    <w:rsid w:val="007B10FC"/>
    <w:rsid w:val="007B12B3"/>
    <w:rsid w:val="007B182C"/>
    <w:rsid w:val="007B28E1"/>
    <w:rsid w:val="007B31D2"/>
    <w:rsid w:val="007B36DB"/>
    <w:rsid w:val="007B43ED"/>
    <w:rsid w:val="007B444D"/>
    <w:rsid w:val="007B452F"/>
    <w:rsid w:val="007B48CC"/>
    <w:rsid w:val="007B496A"/>
    <w:rsid w:val="007B4ECA"/>
    <w:rsid w:val="007B53F2"/>
    <w:rsid w:val="007B5676"/>
    <w:rsid w:val="007B5D6A"/>
    <w:rsid w:val="007B6D19"/>
    <w:rsid w:val="007B6DA5"/>
    <w:rsid w:val="007B6E0B"/>
    <w:rsid w:val="007B73CC"/>
    <w:rsid w:val="007B7481"/>
    <w:rsid w:val="007B77C2"/>
    <w:rsid w:val="007B7A12"/>
    <w:rsid w:val="007B7CDD"/>
    <w:rsid w:val="007B7CFD"/>
    <w:rsid w:val="007C0035"/>
    <w:rsid w:val="007C03C8"/>
    <w:rsid w:val="007C0458"/>
    <w:rsid w:val="007C08E8"/>
    <w:rsid w:val="007C107F"/>
    <w:rsid w:val="007C12CB"/>
    <w:rsid w:val="007C1C84"/>
    <w:rsid w:val="007C1D27"/>
    <w:rsid w:val="007C2A0D"/>
    <w:rsid w:val="007C32F6"/>
    <w:rsid w:val="007C388A"/>
    <w:rsid w:val="007C3898"/>
    <w:rsid w:val="007C4111"/>
    <w:rsid w:val="007C4751"/>
    <w:rsid w:val="007C49DF"/>
    <w:rsid w:val="007C4BD8"/>
    <w:rsid w:val="007C4EA4"/>
    <w:rsid w:val="007C565D"/>
    <w:rsid w:val="007C5746"/>
    <w:rsid w:val="007C59DB"/>
    <w:rsid w:val="007C607E"/>
    <w:rsid w:val="007C614F"/>
    <w:rsid w:val="007C67EA"/>
    <w:rsid w:val="007C6DDA"/>
    <w:rsid w:val="007C6E86"/>
    <w:rsid w:val="007C7749"/>
    <w:rsid w:val="007C7AFE"/>
    <w:rsid w:val="007C7CF3"/>
    <w:rsid w:val="007D09ED"/>
    <w:rsid w:val="007D0A74"/>
    <w:rsid w:val="007D0D94"/>
    <w:rsid w:val="007D1389"/>
    <w:rsid w:val="007D1B60"/>
    <w:rsid w:val="007D2036"/>
    <w:rsid w:val="007D23CB"/>
    <w:rsid w:val="007D2ADF"/>
    <w:rsid w:val="007D2F39"/>
    <w:rsid w:val="007D34B9"/>
    <w:rsid w:val="007D3764"/>
    <w:rsid w:val="007D38F6"/>
    <w:rsid w:val="007D394C"/>
    <w:rsid w:val="007D3C77"/>
    <w:rsid w:val="007D3C78"/>
    <w:rsid w:val="007D41A1"/>
    <w:rsid w:val="007D4653"/>
    <w:rsid w:val="007D4761"/>
    <w:rsid w:val="007D51E3"/>
    <w:rsid w:val="007D523B"/>
    <w:rsid w:val="007D5888"/>
    <w:rsid w:val="007D5915"/>
    <w:rsid w:val="007D5928"/>
    <w:rsid w:val="007D5CC2"/>
    <w:rsid w:val="007D5FAB"/>
    <w:rsid w:val="007D641A"/>
    <w:rsid w:val="007D64D6"/>
    <w:rsid w:val="007D6976"/>
    <w:rsid w:val="007D69DC"/>
    <w:rsid w:val="007D72E6"/>
    <w:rsid w:val="007D7809"/>
    <w:rsid w:val="007D795C"/>
    <w:rsid w:val="007D7CA7"/>
    <w:rsid w:val="007D7EEC"/>
    <w:rsid w:val="007D7F13"/>
    <w:rsid w:val="007E0013"/>
    <w:rsid w:val="007E035B"/>
    <w:rsid w:val="007E08BA"/>
    <w:rsid w:val="007E0DEB"/>
    <w:rsid w:val="007E14BC"/>
    <w:rsid w:val="007E1719"/>
    <w:rsid w:val="007E1B68"/>
    <w:rsid w:val="007E1FAD"/>
    <w:rsid w:val="007E2A94"/>
    <w:rsid w:val="007E2EE8"/>
    <w:rsid w:val="007E35F9"/>
    <w:rsid w:val="007E376C"/>
    <w:rsid w:val="007E44E5"/>
    <w:rsid w:val="007E4974"/>
    <w:rsid w:val="007E5276"/>
    <w:rsid w:val="007E5588"/>
    <w:rsid w:val="007E5B1E"/>
    <w:rsid w:val="007E709B"/>
    <w:rsid w:val="007E71E5"/>
    <w:rsid w:val="007E7345"/>
    <w:rsid w:val="007E7E35"/>
    <w:rsid w:val="007F01FC"/>
    <w:rsid w:val="007F0918"/>
    <w:rsid w:val="007F0A24"/>
    <w:rsid w:val="007F0BDE"/>
    <w:rsid w:val="007F0C4F"/>
    <w:rsid w:val="007F0F1B"/>
    <w:rsid w:val="007F13B1"/>
    <w:rsid w:val="007F1501"/>
    <w:rsid w:val="007F1BD4"/>
    <w:rsid w:val="007F1CE6"/>
    <w:rsid w:val="007F29E5"/>
    <w:rsid w:val="007F2B5F"/>
    <w:rsid w:val="007F3108"/>
    <w:rsid w:val="007F37D5"/>
    <w:rsid w:val="007F3A05"/>
    <w:rsid w:val="007F3E98"/>
    <w:rsid w:val="007F3F15"/>
    <w:rsid w:val="007F436A"/>
    <w:rsid w:val="007F4E72"/>
    <w:rsid w:val="007F52EE"/>
    <w:rsid w:val="007F5811"/>
    <w:rsid w:val="007F58CF"/>
    <w:rsid w:val="007F5BE3"/>
    <w:rsid w:val="007F6D23"/>
    <w:rsid w:val="007F6EB3"/>
    <w:rsid w:val="007F75AE"/>
    <w:rsid w:val="0080019E"/>
    <w:rsid w:val="008010BB"/>
    <w:rsid w:val="00801141"/>
    <w:rsid w:val="00801315"/>
    <w:rsid w:val="0080134B"/>
    <w:rsid w:val="0080160A"/>
    <w:rsid w:val="008018F0"/>
    <w:rsid w:val="00801FBD"/>
    <w:rsid w:val="00802444"/>
    <w:rsid w:val="00802C1B"/>
    <w:rsid w:val="00802CF7"/>
    <w:rsid w:val="00803C86"/>
    <w:rsid w:val="00804136"/>
    <w:rsid w:val="00804648"/>
    <w:rsid w:val="00804DC0"/>
    <w:rsid w:val="0080523C"/>
    <w:rsid w:val="00805837"/>
    <w:rsid w:val="00805AE1"/>
    <w:rsid w:val="00805EA1"/>
    <w:rsid w:val="00805EC2"/>
    <w:rsid w:val="00806136"/>
    <w:rsid w:val="0080630A"/>
    <w:rsid w:val="00806B69"/>
    <w:rsid w:val="00806FCA"/>
    <w:rsid w:val="008100AD"/>
    <w:rsid w:val="00810559"/>
    <w:rsid w:val="008109D4"/>
    <w:rsid w:val="00810C72"/>
    <w:rsid w:val="00811061"/>
    <w:rsid w:val="008113C4"/>
    <w:rsid w:val="0081157C"/>
    <w:rsid w:val="00811583"/>
    <w:rsid w:val="008118D4"/>
    <w:rsid w:val="008118F2"/>
    <w:rsid w:val="00811C5E"/>
    <w:rsid w:val="00811E64"/>
    <w:rsid w:val="00811FBC"/>
    <w:rsid w:val="00812AF3"/>
    <w:rsid w:val="0081312A"/>
    <w:rsid w:val="00813444"/>
    <w:rsid w:val="00813BC2"/>
    <w:rsid w:val="00814190"/>
    <w:rsid w:val="00814791"/>
    <w:rsid w:val="00814DDC"/>
    <w:rsid w:val="00815B19"/>
    <w:rsid w:val="00815F19"/>
    <w:rsid w:val="00816233"/>
    <w:rsid w:val="00816377"/>
    <w:rsid w:val="008167F9"/>
    <w:rsid w:val="00816CB4"/>
    <w:rsid w:val="0081767D"/>
    <w:rsid w:val="008176E8"/>
    <w:rsid w:val="00817A4B"/>
    <w:rsid w:val="00817C14"/>
    <w:rsid w:val="00817E05"/>
    <w:rsid w:val="00820343"/>
    <w:rsid w:val="008206D4"/>
    <w:rsid w:val="00821337"/>
    <w:rsid w:val="008213B0"/>
    <w:rsid w:val="008214AE"/>
    <w:rsid w:val="00821FEF"/>
    <w:rsid w:val="008225B2"/>
    <w:rsid w:val="008226DD"/>
    <w:rsid w:val="0082291B"/>
    <w:rsid w:val="008230A6"/>
    <w:rsid w:val="008230EA"/>
    <w:rsid w:val="00823195"/>
    <w:rsid w:val="00823D9B"/>
    <w:rsid w:val="008244BD"/>
    <w:rsid w:val="00824B6D"/>
    <w:rsid w:val="00824BEF"/>
    <w:rsid w:val="00825021"/>
    <w:rsid w:val="008259BC"/>
    <w:rsid w:val="00825B93"/>
    <w:rsid w:val="00826211"/>
    <w:rsid w:val="00826B3C"/>
    <w:rsid w:val="00826C32"/>
    <w:rsid w:val="00826DE4"/>
    <w:rsid w:val="00826E0E"/>
    <w:rsid w:val="00826FDB"/>
    <w:rsid w:val="00827827"/>
    <w:rsid w:val="0082795D"/>
    <w:rsid w:val="008301CA"/>
    <w:rsid w:val="00830BFD"/>
    <w:rsid w:val="008315EB"/>
    <w:rsid w:val="008316EE"/>
    <w:rsid w:val="00831991"/>
    <w:rsid w:val="00831E4C"/>
    <w:rsid w:val="00832C89"/>
    <w:rsid w:val="00833496"/>
    <w:rsid w:val="00833D12"/>
    <w:rsid w:val="00833E88"/>
    <w:rsid w:val="00833EC9"/>
    <w:rsid w:val="0083415E"/>
    <w:rsid w:val="00834253"/>
    <w:rsid w:val="00834323"/>
    <w:rsid w:val="0083444B"/>
    <w:rsid w:val="0083490F"/>
    <w:rsid w:val="00834B38"/>
    <w:rsid w:val="00834C98"/>
    <w:rsid w:val="00834E6B"/>
    <w:rsid w:val="00835188"/>
    <w:rsid w:val="00835653"/>
    <w:rsid w:val="00835F60"/>
    <w:rsid w:val="008362D3"/>
    <w:rsid w:val="00836ADE"/>
    <w:rsid w:val="0083706B"/>
    <w:rsid w:val="0083767C"/>
    <w:rsid w:val="008377E4"/>
    <w:rsid w:val="00837F8A"/>
    <w:rsid w:val="008401A5"/>
    <w:rsid w:val="0084092E"/>
    <w:rsid w:val="008409F6"/>
    <w:rsid w:val="00841684"/>
    <w:rsid w:val="008418B4"/>
    <w:rsid w:val="00841D95"/>
    <w:rsid w:val="00841F42"/>
    <w:rsid w:val="00841F7D"/>
    <w:rsid w:val="00842169"/>
    <w:rsid w:val="008421C2"/>
    <w:rsid w:val="00842769"/>
    <w:rsid w:val="00842A30"/>
    <w:rsid w:val="00842FCA"/>
    <w:rsid w:val="0084323C"/>
    <w:rsid w:val="00843390"/>
    <w:rsid w:val="00843634"/>
    <w:rsid w:val="00844225"/>
    <w:rsid w:val="0084422B"/>
    <w:rsid w:val="00844544"/>
    <w:rsid w:val="00844834"/>
    <w:rsid w:val="00844F1B"/>
    <w:rsid w:val="0084534A"/>
    <w:rsid w:val="008457A1"/>
    <w:rsid w:val="008457C7"/>
    <w:rsid w:val="00845B4B"/>
    <w:rsid w:val="00846672"/>
    <w:rsid w:val="00846792"/>
    <w:rsid w:val="00846BE5"/>
    <w:rsid w:val="00847441"/>
    <w:rsid w:val="008474B4"/>
    <w:rsid w:val="0085013C"/>
    <w:rsid w:val="008505F8"/>
    <w:rsid w:val="0085088F"/>
    <w:rsid w:val="00851A91"/>
    <w:rsid w:val="00852218"/>
    <w:rsid w:val="008523CC"/>
    <w:rsid w:val="00852553"/>
    <w:rsid w:val="008526AC"/>
    <w:rsid w:val="00852ABA"/>
    <w:rsid w:val="00852DE5"/>
    <w:rsid w:val="008537E0"/>
    <w:rsid w:val="00853FD7"/>
    <w:rsid w:val="008542CD"/>
    <w:rsid w:val="008544A8"/>
    <w:rsid w:val="008545A0"/>
    <w:rsid w:val="00854B9C"/>
    <w:rsid w:val="00854E34"/>
    <w:rsid w:val="00855198"/>
    <w:rsid w:val="00855312"/>
    <w:rsid w:val="00856690"/>
    <w:rsid w:val="008566F8"/>
    <w:rsid w:val="00856714"/>
    <w:rsid w:val="00856836"/>
    <w:rsid w:val="00856A36"/>
    <w:rsid w:val="00857271"/>
    <w:rsid w:val="0085767D"/>
    <w:rsid w:val="00857A01"/>
    <w:rsid w:val="008602EC"/>
    <w:rsid w:val="008603C0"/>
    <w:rsid w:val="008608B6"/>
    <w:rsid w:val="00860C79"/>
    <w:rsid w:val="008610C7"/>
    <w:rsid w:val="008612C6"/>
    <w:rsid w:val="0086189C"/>
    <w:rsid w:val="00862274"/>
    <w:rsid w:val="00862485"/>
    <w:rsid w:val="0086258C"/>
    <w:rsid w:val="008626DD"/>
    <w:rsid w:val="00863317"/>
    <w:rsid w:val="00863651"/>
    <w:rsid w:val="00863817"/>
    <w:rsid w:val="00864470"/>
    <w:rsid w:val="0086466A"/>
    <w:rsid w:val="008649CF"/>
    <w:rsid w:val="00864A3B"/>
    <w:rsid w:val="00864E62"/>
    <w:rsid w:val="008650E2"/>
    <w:rsid w:val="00865E49"/>
    <w:rsid w:val="00866CB9"/>
    <w:rsid w:val="00866DF2"/>
    <w:rsid w:val="008678C3"/>
    <w:rsid w:val="008705A6"/>
    <w:rsid w:val="0087084E"/>
    <w:rsid w:val="00870A01"/>
    <w:rsid w:val="00870BE6"/>
    <w:rsid w:val="008713A4"/>
    <w:rsid w:val="00871793"/>
    <w:rsid w:val="008717B9"/>
    <w:rsid w:val="00871D3D"/>
    <w:rsid w:val="00871E0B"/>
    <w:rsid w:val="00871E7A"/>
    <w:rsid w:val="0087226A"/>
    <w:rsid w:val="008722AD"/>
    <w:rsid w:val="008722BA"/>
    <w:rsid w:val="008724B5"/>
    <w:rsid w:val="00872979"/>
    <w:rsid w:val="00872D3E"/>
    <w:rsid w:val="00872E5D"/>
    <w:rsid w:val="00872E87"/>
    <w:rsid w:val="0087309C"/>
    <w:rsid w:val="008733EA"/>
    <w:rsid w:val="0087370E"/>
    <w:rsid w:val="00873BE5"/>
    <w:rsid w:val="00873BFB"/>
    <w:rsid w:val="008742E1"/>
    <w:rsid w:val="00874BE7"/>
    <w:rsid w:val="0087500E"/>
    <w:rsid w:val="00875187"/>
    <w:rsid w:val="0087537A"/>
    <w:rsid w:val="008756CB"/>
    <w:rsid w:val="008756DB"/>
    <w:rsid w:val="008757F9"/>
    <w:rsid w:val="00875B77"/>
    <w:rsid w:val="00875EEC"/>
    <w:rsid w:val="00876303"/>
    <w:rsid w:val="00876403"/>
    <w:rsid w:val="008772C5"/>
    <w:rsid w:val="00877361"/>
    <w:rsid w:val="008800DE"/>
    <w:rsid w:val="00880C68"/>
    <w:rsid w:val="00880FF4"/>
    <w:rsid w:val="00881BA5"/>
    <w:rsid w:val="008821D7"/>
    <w:rsid w:val="0088240D"/>
    <w:rsid w:val="00882691"/>
    <w:rsid w:val="008826C2"/>
    <w:rsid w:val="00882EB0"/>
    <w:rsid w:val="0088345F"/>
    <w:rsid w:val="008835CC"/>
    <w:rsid w:val="00883D2C"/>
    <w:rsid w:val="00883FD3"/>
    <w:rsid w:val="008844D9"/>
    <w:rsid w:val="0088467D"/>
    <w:rsid w:val="00884AD4"/>
    <w:rsid w:val="00884C22"/>
    <w:rsid w:val="0088502E"/>
    <w:rsid w:val="0088548C"/>
    <w:rsid w:val="0088573A"/>
    <w:rsid w:val="008859B4"/>
    <w:rsid w:val="00885D13"/>
    <w:rsid w:val="00885E82"/>
    <w:rsid w:val="00885F1B"/>
    <w:rsid w:val="00886009"/>
    <w:rsid w:val="0088601B"/>
    <w:rsid w:val="00886422"/>
    <w:rsid w:val="00886BA4"/>
    <w:rsid w:val="00886F3B"/>
    <w:rsid w:val="0088724A"/>
    <w:rsid w:val="008879F8"/>
    <w:rsid w:val="00887AB2"/>
    <w:rsid w:val="0089027A"/>
    <w:rsid w:val="008904BA"/>
    <w:rsid w:val="00890F0F"/>
    <w:rsid w:val="008911E7"/>
    <w:rsid w:val="008913AD"/>
    <w:rsid w:val="008916FB"/>
    <w:rsid w:val="00891EE0"/>
    <w:rsid w:val="0089297F"/>
    <w:rsid w:val="00893161"/>
    <w:rsid w:val="008936EE"/>
    <w:rsid w:val="00893723"/>
    <w:rsid w:val="008940B0"/>
    <w:rsid w:val="008949B3"/>
    <w:rsid w:val="008949F1"/>
    <w:rsid w:val="00895462"/>
    <w:rsid w:val="0089557F"/>
    <w:rsid w:val="0089571E"/>
    <w:rsid w:val="0089587E"/>
    <w:rsid w:val="00895BC1"/>
    <w:rsid w:val="00895CF9"/>
    <w:rsid w:val="00896489"/>
    <w:rsid w:val="0089679D"/>
    <w:rsid w:val="00896B78"/>
    <w:rsid w:val="00896BB0"/>
    <w:rsid w:val="00897434"/>
    <w:rsid w:val="00897B37"/>
    <w:rsid w:val="008A0094"/>
    <w:rsid w:val="008A07CB"/>
    <w:rsid w:val="008A0A2D"/>
    <w:rsid w:val="008A0C7B"/>
    <w:rsid w:val="008A169F"/>
    <w:rsid w:val="008A192A"/>
    <w:rsid w:val="008A1B1E"/>
    <w:rsid w:val="008A276A"/>
    <w:rsid w:val="008A2939"/>
    <w:rsid w:val="008A2AF2"/>
    <w:rsid w:val="008A2C67"/>
    <w:rsid w:val="008A2CF4"/>
    <w:rsid w:val="008A3051"/>
    <w:rsid w:val="008A37CD"/>
    <w:rsid w:val="008A3904"/>
    <w:rsid w:val="008A399F"/>
    <w:rsid w:val="008A48FF"/>
    <w:rsid w:val="008A4948"/>
    <w:rsid w:val="008A4A5A"/>
    <w:rsid w:val="008A4C15"/>
    <w:rsid w:val="008A5657"/>
    <w:rsid w:val="008A5675"/>
    <w:rsid w:val="008A6CB1"/>
    <w:rsid w:val="008A6F31"/>
    <w:rsid w:val="008A75B1"/>
    <w:rsid w:val="008A76BE"/>
    <w:rsid w:val="008A7ED0"/>
    <w:rsid w:val="008B0B16"/>
    <w:rsid w:val="008B13A5"/>
    <w:rsid w:val="008B1415"/>
    <w:rsid w:val="008B1683"/>
    <w:rsid w:val="008B1A34"/>
    <w:rsid w:val="008B20AC"/>
    <w:rsid w:val="008B21FB"/>
    <w:rsid w:val="008B2373"/>
    <w:rsid w:val="008B2A85"/>
    <w:rsid w:val="008B2CD1"/>
    <w:rsid w:val="008B3898"/>
    <w:rsid w:val="008B3A25"/>
    <w:rsid w:val="008B40AD"/>
    <w:rsid w:val="008B44E1"/>
    <w:rsid w:val="008B4EC0"/>
    <w:rsid w:val="008B502A"/>
    <w:rsid w:val="008B5A95"/>
    <w:rsid w:val="008B643B"/>
    <w:rsid w:val="008B6BEA"/>
    <w:rsid w:val="008B6C26"/>
    <w:rsid w:val="008B757F"/>
    <w:rsid w:val="008B7CB5"/>
    <w:rsid w:val="008B7D3D"/>
    <w:rsid w:val="008B7FBB"/>
    <w:rsid w:val="008B7FEB"/>
    <w:rsid w:val="008C0122"/>
    <w:rsid w:val="008C0387"/>
    <w:rsid w:val="008C04EB"/>
    <w:rsid w:val="008C05EC"/>
    <w:rsid w:val="008C1A15"/>
    <w:rsid w:val="008C1E9E"/>
    <w:rsid w:val="008C265C"/>
    <w:rsid w:val="008C32A7"/>
    <w:rsid w:val="008C3337"/>
    <w:rsid w:val="008C3702"/>
    <w:rsid w:val="008C423A"/>
    <w:rsid w:val="008C42F6"/>
    <w:rsid w:val="008C4464"/>
    <w:rsid w:val="008C4925"/>
    <w:rsid w:val="008C49D1"/>
    <w:rsid w:val="008C4E77"/>
    <w:rsid w:val="008C528D"/>
    <w:rsid w:val="008C53F1"/>
    <w:rsid w:val="008C5766"/>
    <w:rsid w:val="008C5FED"/>
    <w:rsid w:val="008C62A6"/>
    <w:rsid w:val="008C6484"/>
    <w:rsid w:val="008C6A34"/>
    <w:rsid w:val="008C6C4F"/>
    <w:rsid w:val="008C702D"/>
    <w:rsid w:val="008C7130"/>
    <w:rsid w:val="008C73CA"/>
    <w:rsid w:val="008C7967"/>
    <w:rsid w:val="008D1262"/>
    <w:rsid w:val="008D12C4"/>
    <w:rsid w:val="008D1453"/>
    <w:rsid w:val="008D2414"/>
    <w:rsid w:val="008D25A0"/>
    <w:rsid w:val="008D28E7"/>
    <w:rsid w:val="008D32CC"/>
    <w:rsid w:val="008D3D06"/>
    <w:rsid w:val="008D40B8"/>
    <w:rsid w:val="008D4255"/>
    <w:rsid w:val="008D4670"/>
    <w:rsid w:val="008D4840"/>
    <w:rsid w:val="008D4959"/>
    <w:rsid w:val="008D50E5"/>
    <w:rsid w:val="008D52C5"/>
    <w:rsid w:val="008D53FC"/>
    <w:rsid w:val="008D572D"/>
    <w:rsid w:val="008D62C7"/>
    <w:rsid w:val="008D6589"/>
    <w:rsid w:val="008D6630"/>
    <w:rsid w:val="008D6AB1"/>
    <w:rsid w:val="008D6F55"/>
    <w:rsid w:val="008D6F76"/>
    <w:rsid w:val="008D701E"/>
    <w:rsid w:val="008D7175"/>
    <w:rsid w:val="008D7351"/>
    <w:rsid w:val="008D7AAD"/>
    <w:rsid w:val="008D7D51"/>
    <w:rsid w:val="008E063A"/>
    <w:rsid w:val="008E0689"/>
    <w:rsid w:val="008E0744"/>
    <w:rsid w:val="008E0920"/>
    <w:rsid w:val="008E0946"/>
    <w:rsid w:val="008E0CD9"/>
    <w:rsid w:val="008E10FE"/>
    <w:rsid w:val="008E1110"/>
    <w:rsid w:val="008E12EF"/>
    <w:rsid w:val="008E2372"/>
    <w:rsid w:val="008E2F87"/>
    <w:rsid w:val="008E3166"/>
    <w:rsid w:val="008E326E"/>
    <w:rsid w:val="008E3470"/>
    <w:rsid w:val="008E34D1"/>
    <w:rsid w:val="008E3B4A"/>
    <w:rsid w:val="008E4288"/>
    <w:rsid w:val="008E4898"/>
    <w:rsid w:val="008E4DF6"/>
    <w:rsid w:val="008E4FEF"/>
    <w:rsid w:val="008E5E98"/>
    <w:rsid w:val="008E60CA"/>
    <w:rsid w:val="008E6A80"/>
    <w:rsid w:val="008E6D88"/>
    <w:rsid w:val="008E6DBA"/>
    <w:rsid w:val="008E7039"/>
    <w:rsid w:val="008E74B1"/>
    <w:rsid w:val="008E765F"/>
    <w:rsid w:val="008E769C"/>
    <w:rsid w:val="008E7B77"/>
    <w:rsid w:val="008F045B"/>
    <w:rsid w:val="008F0B12"/>
    <w:rsid w:val="008F1883"/>
    <w:rsid w:val="008F1AE0"/>
    <w:rsid w:val="008F1DA2"/>
    <w:rsid w:val="008F2647"/>
    <w:rsid w:val="008F28B5"/>
    <w:rsid w:val="008F2F55"/>
    <w:rsid w:val="008F3FE7"/>
    <w:rsid w:val="008F4206"/>
    <w:rsid w:val="008F4EB3"/>
    <w:rsid w:val="008F5136"/>
    <w:rsid w:val="008F62A3"/>
    <w:rsid w:val="008F699D"/>
    <w:rsid w:val="008F6B54"/>
    <w:rsid w:val="008F741F"/>
    <w:rsid w:val="008F76C3"/>
    <w:rsid w:val="008F78E2"/>
    <w:rsid w:val="008F7CB4"/>
    <w:rsid w:val="008F7DB9"/>
    <w:rsid w:val="008F7ED5"/>
    <w:rsid w:val="00900471"/>
    <w:rsid w:val="0090061D"/>
    <w:rsid w:val="00900C23"/>
    <w:rsid w:val="0090113E"/>
    <w:rsid w:val="009011CF"/>
    <w:rsid w:val="009020AB"/>
    <w:rsid w:val="009025B8"/>
    <w:rsid w:val="0090268C"/>
    <w:rsid w:val="009026A3"/>
    <w:rsid w:val="00902980"/>
    <w:rsid w:val="00902A18"/>
    <w:rsid w:val="00902B51"/>
    <w:rsid w:val="009032D2"/>
    <w:rsid w:val="0090372E"/>
    <w:rsid w:val="00903DFE"/>
    <w:rsid w:val="009046EE"/>
    <w:rsid w:val="009052A7"/>
    <w:rsid w:val="0090557E"/>
    <w:rsid w:val="009056EC"/>
    <w:rsid w:val="00905BBF"/>
    <w:rsid w:val="00906B0C"/>
    <w:rsid w:val="00906CD8"/>
    <w:rsid w:val="00906D10"/>
    <w:rsid w:val="009078CA"/>
    <w:rsid w:val="00907F60"/>
    <w:rsid w:val="00910446"/>
    <w:rsid w:val="0091104A"/>
    <w:rsid w:val="009110A1"/>
    <w:rsid w:val="00911120"/>
    <w:rsid w:val="009113AB"/>
    <w:rsid w:val="009114B1"/>
    <w:rsid w:val="00911BAD"/>
    <w:rsid w:val="00912060"/>
    <w:rsid w:val="009127EB"/>
    <w:rsid w:val="009133EC"/>
    <w:rsid w:val="00913833"/>
    <w:rsid w:val="0091383A"/>
    <w:rsid w:val="00913D19"/>
    <w:rsid w:val="00913D89"/>
    <w:rsid w:val="00913FF8"/>
    <w:rsid w:val="00914947"/>
    <w:rsid w:val="00915507"/>
    <w:rsid w:val="00915B53"/>
    <w:rsid w:val="009164C1"/>
    <w:rsid w:val="00916644"/>
    <w:rsid w:val="00916967"/>
    <w:rsid w:val="0091735E"/>
    <w:rsid w:val="00917B01"/>
    <w:rsid w:val="00917D32"/>
    <w:rsid w:val="00917E4C"/>
    <w:rsid w:val="009201C3"/>
    <w:rsid w:val="00920B73"/>
    <w:rsid w:val="00921E80"/>
    <w:rsid w:val="00923111"/>
    <w:rsid w:val="009237A7"/>
    <w:rsid w:val="00923D1C"/>
    <w:rsid w:val="009242FF"/>
    <w:rsid w:val="00924B0B"/>
    <w:rsid w:val="00924C53"/>
    <w:rsid w:val="00924EE8"/>
    <w:rsid w:val="0092604B"/>
    <w:rsid w:val="0092674A"/>
    <w:rsid w:val="009269F1"/>
    <w:rsid w:val="00926F5D"/>
    <w:rsid w:val="00927183"/>
    <w:rsid w:val="0092718F"/>
    <w:rsid w:val="0092741C"/>
    <w:rsid w:val="00927554"/>
    <w:rsid w:val="009276EB"/>
    <w:rsid w:val="00927CCC"/>
    <w:rsid w:val="00927DC5"/>
    <w:rsid w:val="00927EBB"/>
    <w:rsid w:val="0093027B"/>
    <w:rsid w:val="00930A46"/>
    <w:rsid w:val="00932CF8"/>
    <w:rsid w:val="0093303A"/>
    <w:rsid w:val="00933CD2"/>
    <w:rsid w:val="009345A8"/>
    <w:rsid w:val="00934B45"/>
    <w:rsid w:val="009353DB"/>
    <w:rsid w:val="009354BB"/>
    <w:rsid w:val="0093578D"/>
    <w:rsid w:val="00935E0C"/>
    <w:rsid w:val="009365AC"/>
    <w:rsid w:val="009371A4"/>
    <w:rsid w:val="009377BC"/>
    <w:rsid w:val="00937F90"/>
    <w:rsid w:val="00940215"/>
    <w:rsid w:val="00940274"/>
    <w:rsid w:val="00940E3C"/>
    <w:rsid w:val="0094108D"/>
    <w:rsid w:val="009412A0"/>
    <w:rsid w:val="00941468"/>
    <w:rsid w:val="009414F3"/>
    <w:rsid w:val="00941D48"/>
    <w:rsid w:val="00941D85"/>
    <w:rsid w:val="00941DC6"/>
    <w:rsid w:val="009427A8"/>
    <w:rsid w:val="009429BD"/>
    <w:rsid w:val="00942C74"/>
    <w:rsid w:val="00942E4D"/>
    <w:rsid w:val="00942FAD"/>
    <w:rsid w:val="0094336B"/>
    <w:rsid w:val="00943D67"/>
    <w:rsid w:val="00944101"/>
    <w:rsid w:val="0094559D"/>
    <w:rsid w:val="00945EB1"/>
    <w:rsid w:val="009460F4"/>
    <w:rsid w:val="009464FE"/>
    <w:rsid w:val="00946653"/>
    <w:rsid w:val="00946A26"/>
    <w:rsid w:val="00947017"/>
    <w:rsid w:val="00950DB7"/>
    <w:rsid w:val="00950ED6"/>
    <w:rsid w:val="00951CE6"/>
    <w:rsid w:val="009527BE"/>
    <w:rsid w:val="00952F3D"/>
    <w:rsid w:val="00952FE8"/>
    <w:rsid w:val="009535D0"/>
    <w:rsid w:val="00953BB9"/>
    <w:rsid w:val="00953FBA"/>
    <w:rsid w:val="0095444D"/>
    <w:rsid w:val="009544DF"/>
    <w:rsid w:val="00954707"/>
    <w:rsid w:val="00955049"/>
    <w:rsid w:val="00955160"/>
    <w:rsid w:val="0095537B"/>
    <w:rsid w:val="00955844"/>
    <w:rsid w:val="00955B95"/>
    <w:rsid w:val="00955D74"/>
    <w:rsid w:val="00955F38"/>
    <w:rsid w:val="009561AC"/>
    <w:rsid w:val="0095668A"/>
    <w:rsid w:val="00957097"/>
    <w:rsid w:val="0095749F"/>
    <w:rsid w:val="009601FB"/>
    <w:rsid w:val="0096031E"/>
    <w:rsid w:val="00960F41"/>
    <w:rsid w:val="00960F4D"/>
    <w:rsid w:val="0096112C"/>
    <w:rsid w:val="00961225"/>
    <w:rsid w:val="00961938"/>
    <w:rsid w:val="00962236"/>
    <w:rsid w:val="009626E8"/>
    <w:rsid w:val="00962903"/>
    <w:rsid w:val="00962B44"/>
    <w:rsid w:val="00962B95"/>
    <w:rsid w:val="0096394B"/>
    <w:rsid w:val="00963BC3"/>
    <w:rsid w:val="00964C4D"/>
    <w:rsid w:val="009651D6"/>
    <w:rsid w:val="009652DC"/>
    <w:rsid w:val="00965320"/>
    <w:rsid w:val="009657E2"/>
    <w:rsid w:val="00965D8D"/>
    <w:rsid w:val="009675BA"/>
    <w:rsid w:val="00967890"/>
    <w:rsid w:val="0096789E"/>
    <w:rsid w:val="00967D2D"/>
    <w:rsid w:val="00967E42"/>
    <w:rsid w:val="009700BE"/>
    <w:rsid w:val="009700D3"/>
    <w:rsid w:val="009700FF"/>
    <w:rsid w:val="0097025C"/>
    <w:rsid w:val="00970304"/>
    <w:rsid w:val="0097183B"/>
    <w:rsid w:val="009719E3"/>
    <w:rsid w:val="00972270"/>
    <w:rsid w:val="00972BB6"/>
    <w:rsid w:val="00973D3F"/>
    <w:rsid w:val="00974760"/>
    <w:rsid w:val="00974F37"/>
    <w:rsid w:val="0097507B"/>
    <w:rsid w:val="009758E8"/>
    <w:rsid w:val="0097596A"/>
    <w:rsid w:val="00975EB6"/>
    <w:rsid w:val="009762C4"/>
    <w:rsid w:val="0097634D"/>
    <w:rsid w:val="009766DB"/>
    <w:rsid w:val="00976885"/>
    <w:rsid w:val="009769AD"/>
    <w:rsid w:val="009771B5"/>
    <w:rsid w:val="0097746D"/>
    <w:rsid w:val="009774F8"/>
    <w:rsid w:val="009778D8"/>
    <w:rsid w:val="009779D7"/>
    <w:rsid w:val="00977A72"/>
    <w:rsid w:val="00977D75"/>
    <w:rsid w:val="00980434"/>
    <w:rsid w:val="0098073D"/>
    <w:rsid w:val="0098073F"/>
    <w:rsid w:val="00980D7D"/>
    <w:rsid w:val="00981145"/>
    <w:rsid w:val="00981177"/>
    <w:rsid w:val="0098150F"/>
    <w:rsid w:val="009816D2"/>
    <w:rsid w:val="0098183D"/>
    <w:rsid w:val="00981F2C"/>
    <w:rsid w:val="009826AE"/>
    <w:rsid w:val="00982A44"/>
    <w:rsid w:val="00982B50"/>
    <w:rsid w:val="009849E3"/>
    <w:rsid w:val="00985569"/>
    <w:rsid w:val="009855BD"/>
    <w:rsid w:val="00985CE2"/>
    <w:rsid w:val="00985EEE"/>
    <w:rsid w:val="00986239"/>
    <w:rsid w:val="009862F3"/>
    <w:rsid w:val="0098653D"/>
    <w:rsid w:val="0098663A"/>
    <w:rsid w:val="0098691D"/>
    <w:rsid w:val="00986C30"/>
    <w:rsid w:val="00986E0C"/>
    <w:rsid w:val="00987369"/>
    <w:rsid w:val="009879D3"/>
    <w:rsid w:val="00987A61"/>
    <w:rsid w:val="00987C38"/>
    <w:rsid w:val="009901A7"/>
    <w:rsid w:val="00990434"/>
    <w:rsid w:val="009909C8"/>
    <w:rsid w:val="009909E7"/>
    <w:rsid w:val="00990C6B"/>
    <w:rsid w:val="00990DEB"/>
    <w:rsid w:val="00990E73"/>
    <w:rsid w:val="00992509"/>
    <w:rsid w:val="00993078"/>
    <w:rsid w:val="0099388A"/>
    <w:rsid w:val="0099393A"/>
    <w:rsid w:val="00993B3E"/>
    <w:rsid w:val="00993D59"/>
    <w:rsid w:val="009943DF"/>
    <w:rsid w:val="0099443A"/>
    <w:rsid w:val="009945C9"/>
    <w:rsid w:val="0099462C"/>
    <w:rsid w:val="009950B7"/>
    <w:rsid w:val="00995132"/>
    <w:rsid w:val="00995540"/>
    <w:rsid w:val="009956BA"/>
    <w:rsid w:val="00995CE6"/>
    <w:rsid w:val="00995E43"/>
    <w:rsid w:val="00995F22"/>
    <w:rsid w:val="00996976"/>
    <w:rsid w:val="00996CEB"/>
    <w:rsid w:val="00996D3A"/>
    <w:rsid w:val="00997003"/>
    <w:rsid w:val="0099720D"/>
    <w:rsid w:val="0099748B"/>
    <w:rsid w:val="00997E73"/>
    <w:rsid w:val="009A0196"/>
    <w:rsid w:val="009A02B9"/>
    <w:rsid w:val="009A04BB"/>
    <w:rsid w:val="009A0953"/>
    <w:rsid w:val="009A0C7C"/>
    <w:rsid w:val="009A0FC0"/>
    <w:rsid w:val="009A1C24"/>
    <w:rsid w:val="009A2EDC"/>
    <w:rsid w:val="009A33CA"/>
    <w:rsid w:val="009A410D"/>
    <w:rsid w:val="009A4147"/>
    <w:rsid w:val="009A4BDB"/>
    <w:rsid w:val="009A4DB2"/>
    <w:rsid w:val="009A5500"/>
    <w:rsid w:val="009A5AF7"/>
    <w:rsid w:val="009A5C95"/>
    <w:rsid w:val="009A60D1"/>
    <w:rsid w:val="009A6346"/>
    <w:rsid w:val="009A663C"/>
    <w:rsid w:val="009A6BB9"/>
    <w:rsid w:val="009A6CA9"/>
    <w:rsid w:val="009A6F91"/>
    <w:rsid w:val="009A6F93"/>
    <w:rsid w:val="009A76D2"/>
    <w:rsid w:val="009A79B5"/>
    <w:rsid w:val="009A7A11"/>
    <w:rsid w:val="009A7BD7"/>
    <w:rsid w:val="009B0C46"/>
    <w:rsid w:val="009B0FCD"/>
    <w:rsid w:val="009B10DA"/>
    <w:rsid w:val="009B16D0"/>
    <w:rsid w:val="009B1AC5"/>
    <w:rsid w:val="009B1E96"/>
    <w:rsid w:val="009B21DA"/>
    <w:rsid w:val="009B22BA"/>
    <w:rsid w:val="009B2C40"/>
    <w:rsid w:val="009B440C"/>
    <w:rsid w:val="009B4A49"/>
    <w:rsid w:val="009B54BE"/>
    <w:rsid w:val="009B5793"/>
    <w:rsid w:val="009B601E"/>
    <w:rsid w:val="009B6ABA"/>
    <w:rsid w:val="009B6AC7"/>
    <w:rsid w:val="009B6C53"/>
    <w:rsid w:val="009B706F"/>
    <w:rsid w:val="009B7394"/>
    <w:rsid w:val="009B7DFE"/>
    <w:rsid w:val="009B7E8E"/>
    <w:rsid w:val="009C00E5"/>
    <w:rsid w:val="009C01F7"/>
    <w:rsid w:val="009C09A4"/>
    <w:rsid w:val="009C0C3E"/>
    <w:rsid w:val="009C0E1A"/>
    <w:rsid w:val="009C0E29"/>
    <w:rsid w:val="009C10EB"/>
    <w:rsid w:val="009C1243"/>
    <w:rsid w:val="009C126D"/>
    <w:rsid w:val="009C155F"/>
    <w:rsid w:val="009C16E6"/>
    <w:rsid w:val="009C180D"/>
    <w:rsid w:val="009C1C14"/>
    <w:rsid w:val="009C1FBA"/>
    <w:rsid w:val="009C2092"/>
    <w:rsid w:val="009C20AB"/>
    <w:rsid w:val="009C2FAF"/>
    <w:rsid w:val="009C349E"/>
    <w:rsid w:val="009C3989"/>
    <w:rsid w:val="009C3E4F"/>
    <w:rsid w:val="009C4513"/>
    <w:rsid w:val="009C5C37"/>
    <w:rsid w:val="009C61C5"/>
    <w:rsid w:val="009C699D"/>
    <w:rsid w:val="009C72F1"/>
    <w:rsid w:val="009C7438"/>
    <w:rsid w:val="009C7B33"/>
    <w:rsid w:val="009C7D35"/>
    <w:rsid w:val="009D08EE"/>
    <w:rsid w:val="009D0A1C"/>
    <w:rsid w:val="009D0F12"/>
    <w:rsid w:val="009D1009"/>
    <w:rsid w:val="009D1453"/>
    <w:rsid w:val="009D1523"/>
    <w:rsid w:val="009D187D"/>
    <w:rsid w:val="009D2A9B"/>
    <w:rsid w:val="009D3449"/>
    <w:rsid w:val="009D345E"/>
    <w:rsid w:val="009D34E4"/>
    <w:rsid w:val="009D379A"/>
    <w:rsid w:val="009D386F"/>
    <w:rsid w:val="009D3DE5"/>
    <w:rsid w:val="009D44D9"/>
    <w:rsid w:val="009D4B6B"/>
    <w:rsid w:val="009D5061"/>
    <w:rsid w:val="009D5573"/>
    <w:rsid w:val="009D5F26"/>
    <w:rsid w:val="009D63AB"/>
    <w:rsid w:val="009D656A"/>
    <w:rsid w:val="009D6804"/>
    <w:rsid w:val="009D6972"/>
    <w:rsid w:val="009D6990"/>
    <w:rsid w:val="009D6E00"/>
    <w:rsid w:val="009D7AEA"/>
    <w:rsid w:val="009D7B22"/>
    <w:rsid w:val="009D7E2F"/>
    <w:rsid w:val="009E0178"/>
    <w:rsid w:val="009E16E0"/>
    <w:rsid w:val="009E18C0"/>
    <w:rsid w:val="009E1C86"/>
    <w:rsid w:val="009E1CC5"/>
    <w:rsid w:val="009E2F0E"/>
    <w:rsid w:val="009E354D"/>
    <w:rsid w:val="009E3AE8"/>
    <w:rsid w:val="009E3C7D"/>
    <w:rsid w:val="009E3E6F"/>
    <w:rsid w:val="009E3FCC"/>
    <w:rsid w:val="009E3FDA"/>
    <w:rsid w:val="009E40C7"/>
    <w:rsid w:val="009E475A"/>
    <w:rsid w:val="009E4C07"/>
    <w:rsid w:val="009E578F"/>
    <w:rsid w:val="009E5934"/>
    <w:rsid w:val="009E5B80"/>
    <w:rsid w:val="009E6451"/>
    <w:rsid w:val="009E68EB"/>
    <w:rsid w:val="009E6A28"/>
    <w:rsid w:val="009E6B2B"/>
    <w:rsid w:val="009E6D36"/>
    <w:rsid w:val="009E6D84"/>
    <w:rsid w:val="009E6FC6"/>
    <w:rsid w:val="009E756D"/>
    <w:rsid w:val="009E7655"/>
    <w:rsid w:val="009E7B39"/>
    <w:rsid w:val="009E7D0E"/>
    <w:rsid w:val="009F0863"/>
    <w:rsid w:val="009F1033"/>
    <w:rsid w:val="009F10F5"/>
    <w:rsid w:val="009F1177"/>
    <w:rsid w:val="009F1F43"/>
    <w:rsid w:val="009F2B87"/>
    <w:rsid w:val="009F2C23"/>
    <w:rsid w:val="009F2DA7"/>
    <w:rsid w:val="009F380A"/>
    <w:rsid w:val="009F3A92"/>
    <w:rsid w:val="009F3BC5"/>
    <w:rsid w:val="009F3C77"/>
    <w:rsid w:val="009F3CF6"/>
    <w:rsid w:val="009F3D8E"/>
    <w:rsid w:val="009F3F61"/>
    <w:rsid w:val="009F40D5"/>
    <w:rsid w:val="009F43CC"/>
    <w:rsid w:val="009F4743"/>
    <w:rsid w:val="009F4CDC"/>
    <w:rsid w:val="009F4F94"/>
    <w:rsid w:val="009F514A"/>
    <w:rsid w:val="009F57F3"/>
    <w:rsid w:val="009F5CAC"/>
    <w:rsid w:val="009F6ADB"/>
    <w:rsid w:val="009F6CB0"/>
    <w:rsid w:val="009F737A"/>
    <w:rsid w:val="009F73DB"/>
    <w:rsid w:val="009F792F"/>
    <w:rsid w:val="00A0072A"/>
    <w:rsid w:val="00A00B59"/>
    <w:rsid w:val="00A00D3A"/>
    <w:rsid w:val="00A01F06"/>
    <w:rsid w:val="00A02607"/>
    <w:rsid w:val="00A038AB"/>
    <w:rsid w:val="00A03E2B"/>
    <w:rsid w:val="00A045D1"/>
    <w:rsid w:val="00A067AF"/>
    <w:rsid w:val="00A069D8"/>
    <w:rsid w:val="00A06D3D"/>
    <w:rsid w:val="00A06E7E"/>
    <w:rsid w:val="00A076B3"/>
    <w:rsid w:val="00A102E3"/>
    <w:rsid w:val="00A1161D"/>
    <w:rsid w:val="00A13110"/>
    <w:rsid w:val="00A1332A"/>
    <w:rsid w:val="00A136EE"/>
    <w:rsid w:val="00A13DD4"/>
    <w:rsid w:val="00A1410E"/>
    <w:rsid w:val="00A14288"/>
    <w:rsid w:val="00A14B30"/>
    <w:rsid w:val="00A14DB9"/>
    <w:rsid w:val="00A14F29"/>
    <w:rsid w:val="00A15322"/>
    <w:rsid w:val="00A15815"/>
    <w:rsid w:val="00A158EF"/>
    <w:rsid w:val="00A15D43"/>
    <w:rsid w:val="00A1656B"/>
    <w:rsid w:val="00A1665C"/>
    <w:rsid w:val="00A169DF"/>
    <w:rsid w:val="00A16A31"/>
    <w:rsid w:val="00A16F4D"/>
    <w:rsid w:val="00A2042B"/>
    <w:rsid w:val="00A207D3"/>
    <w:rsid w:val="00A20844"/>
    <w:rsid w:val="00A20D46"/>
    <w:rsid w:val="00A216F8"/>
    <w:rsid w:val="00A21827"/>
    <w:rsid w:val="00A220C0"/>
    <w:rsid w:val="00A22534"/>
    <w:rsid w:val="00A229C1"/>
    <w:rsid w:val="00A23093"/>
    <w:rsid w:val="00A23D48"/>
    <w:rsid w:val="00A23FB5"/>
    <w:rsid w:val="00A243C0"/>
    <w:rsid w:val="00A2518A"/>
    <w:rsid w:val="00A251BE"/>
    <w:rsid w:val="00A256F6"/>
    <w:rsid w:val="00A25DDD"/>
    <w:rsid w:val="00A2607F"/>
    <w:rsid w:val="00A26902"/>
    <w:rsid w:val="00A269BA"/>
    <w:rsid w:val="00A269FB"/>
    <w:rsid w:val="00A27024"/>
    <w:rsid w:val="00A2723C"/>
    <w:rsid w:val="00A27405"/>
    <w:rsid w:val="00A27D97"/>
    <w:rsid w:val="00A30040"/>
    <w:rsid w:val="00A3014A"/>
    <w:rsid w:val="00A30E45"/>
    <w:rsid w:val="00A3107F"/>
    <w:rsid w:val="00A31251"/>
    <w:rsid w:val="00A314B5"/>
    <w:rsid w:val="00A31A55"/>
    <w:rsid w:val="00A3295F"/>
    <w:rsid w:val="00A32AAB"/>
    <w:rsid w:val="00A32B6A"/>
    <w:rsid w:val="00A331B9"/>
    <w:rsid w:val="00A332BB"/>
    <w:rsid w:val="00A3371B"/>
    <w:rsid w:val="00A33A64"/>
    <w:rsid w:val="00A33A73"/>
    <w:rsid w:val="00A33A84"/>
    <w:rsid w:val="00A34943"/>
    <w:rsid w:val="00A34B33"/>
    <w:rsid w:val="00A351CD"/>
    <w:rsid w:val="00A35C3D"/>
    <w:rsid w:val="00A368D6"/>
    <w:rsid w:val="00A36AFA"/>
    <w:rsid w:val="00A3771A"/>
    <w:rsid w:val="00A37E19"/>
    <w:rsid w:val="00A4032B"/>
    <w:rsid w:val="00A404D1"/>
    <w:rsid w:val="00A408E5"/>
    <w:rsid w:val="00A40E79"/>
    <w:rsid w:val="00A40F22"/>
    <w:rsid w:val="00A4160F"/>
    <w:rsid w:val="00A4161F"/>
    <w:rsid w:val="00A41BAB"/>
    <w:rsid w:val="00A4215E"/>
    <w:rsid w:val="00A42461"/>
    <w:rsid w:val="00A427D2"/>
    <w:rsid w:val="00A42862"/>
    <w:rsid w:val="00A43000"/>
    <w:rsid w:val="00A43226"/>
    <w:rsid w:val="00A4338B"/>
    <w:rsid w:val="00A43718"/>
    <w:rsid w:val="00A43BC0"/>
    <w:rsid w:val="00A43C6C"/>
    <w:rsid w:val="00A43EBF"/>
    <w:rsid w:val="00A44119"/>
    <w:rsid w:val="00A44B1D"/>
    <w:rsid w:val="00A451D8"/>
    <w:rsid w:val="00A455B3"/>
    <w:rsid w:val="00A45E7E"/>
    <w:rsid w:val="00A45F5B"/>
    <w:rsid w:val="00A460BF"/>
    <w:rsid w:val="00A46365"/>
    <w:rsid w:val="00A47137"/>
    <w:rsid w:val="00A4725A"/>
    <w:rsid w:val="00A477F5"/>
    <w:rsid w:val="00A478B1"/>
    <w:rsid w:val="00A50DE0"/>
    <w:rsid w:val="00A516A7"/>
    <w:rsid w:val="00A51A00"/>
    <w:rsid w:val="00A523B2"/>
    <w:rsid w:val="00A52B11"/>
    <w:rsid w:val="00A52CCA"/>
    <w:rsid w:val="00A52D4A"/>
    <w:rsid w:val="00A53283"/>
    <w:rsid w:val="00A534B7"/>
    <w:rsid w:val="00A54E90"/>
    <w:rsid w:val="00A5533B"/>
    <w:rsid w:val="00A559C1"/>
    <w:rsid w:val="00A55D60"/>
    <w:rsid w:val="00A566A5"/>
    <w:rsid w:val="00A56853"/>
    <w:rsid w:val="00A5695D"/>
    <w:rsid w:val="00A56C87"/>
    <w:rsid w:val="00A56DDD"/>
    <w:rsid w:val="00A56FE9"/>
    <w:rsid w:val="00A576C8"/>
    <w:rsid w:val="00A57747"/>
    <w:rsid w:val="00A5782D"/>
    <w:rsid w:val="00A60775"/>
    <w:rsid w:val="00A607BB"/>
    <w:rsid w:val="00A60BDA"/>
    <w:rsid w:val="00A615EB"/>
    <w:rsid w:val="00A61D1C"/>
    <w:rsid w:val="00A61D62"/>
    <w:rsid w:val="00A62261"/>
    <w:rsid w:val="00A62637"/>
    <w:rsid w:val="00A62643"/>
    <w:rsid w:val="00A628DA"/>
    <w:rsid w:val="00A6355E"/>
    <w:rsid w:val="00A637EE"/>
    <w:rsid w:val="00A639DD"/>
    <w:rsid w:val="00A6404B"/>
    <w:rsid w:val="00A6456F"/>
    <w:rsid w:val="00A64815"/>
    <w:rsid w:val="00A64AD1"/>
    <w:rsid w:val="00A64F12"/>
    <w:rsid w:val="00A65263"/>
    <w:rsid w:val="00A6537D"/>
    <w:rsid w:val="00A65CDD"/>
    <w:rsid w:val="00A66282"/>
    <w:rsid w:val="00A6689F"/>
    <w:rsid w:val="00A66C3D"/>
    <w:rsid w:val="00A66F4D"/>
    <w:rsid w:val="00A6700A"/>
    <w:rsid w:val="00A672FF"/>
    <w:rsid w:val="00A67408"/>
    <w:rsid w:val="00A675FD"/>
    <w:rsid w:val="00A67603"/>
    <w:rsid w:val="00A7011B"/>
    <w:rsid w:val="00A7052D"/>
    <w:rsid w:val="00A711AF"/>
    <w:rsid w:val="00A712A5"/>
    <w:rsid w:val="00A71C0B"/>
    <w:rsid w:val="00A71C72"/>
    <w:rsid w:val="00A7247C"/>
    <w:rsid w:val="00A72630"/>
    <w:rsid w:val="00A73044"/>
    <w:rsid w:val="00A7350A"/>
    <w:rsid w:val="00A7354C"/>
    <w:rsid w:val="00A73624"/>
    <w:rsid w:val="00A73837"/>
    <w:rsid w:val="00A73885"/>
    <w:rsid w:val="00A73C09"/>
    <w:rsid w:val="00A73EA1"/>
    <w:rsid w:val="00A74495"/>
    <w:rsid w:val="00A745F8"/>
    <w:rsid w:val="00A746BA"/>
    <w:rsid w:val="00A74E5A"/>
    <w:rsid w:val="00A74F1D"/>
    <w:rsid w:val="00A750BF"/>
    <w:rsid w:val="00A750C7"/>
    <w:rsid w:val="00A7518B"/>
    <w:rsid w:val="00A76406"/>
    <w:rsid w:val="00A76CD5"/>
    <w:rsid w:val="00A77049"/>
    <w:rsid w:val="00A77220"/>
    <w:rsid w:val="00A77369"/>
    <w:rsid w:val="00A77756"/>
    <w:rsid w:val="00A777B8"/>
    <w:rsid w:val="00A777F1"/>
    <w:rsid w:val="00A77DDD"/>
    <w:rsid w:val="00A77F66"/>
    <w:rsid w:val="00A80754"/>
    <w:rsid w:val="00A80F2F"/>
    <w:rsid w:val="00A81181"/>
    <w:rsid w:val="00A81278"/>
    <w:rsid w:val="00A81EBC"/>
    <w:rsid w:val="00A8237C"/>
    <w:rsid w:val="00A83165"/>
    <w:rsid w:val="00A83226"/>
    <w:rsid w:val="00A836A0"/>
    <w:rsid w:val="00A8376C"/>
    <w:rsid w:val="00A8403C"/>
    <w:rsid w:val="00A8411A"/>
    <w:rsid w:val="00A8411E"/>
    <w:rsid w:val="00A852E4"/>
    <w:rsid w:val="00A85323"/>
    <w:rsid w:val="00A85EE0"/>
    <w:rsid w:val="00A861E3"/>
    <w:rsid w:val="00A86255"/>
    <w:rsid w:val="00A86355"/>
    <w:rsid w:val="00A869CA"/>
    <w:rsid w:val="00A86CCC"/>
    <w:rsid w:val="00A879E8"/>
    <w:rsid w:val="00A87D64"/>
    <w:rsid w:val="00A87D8D"/>
    <w:rsid w:val="00A90416"/>
    <w:rsid w:val="00A90FFF"/>
    <w:rsid w:val="00A9142F"/>
    <w:rsid w:val="00A914FF"/>
    <w:rsid w:val="00A9153D"/>
    <w:rsid w:val="00A9155B"/>
    <w:rsid w:val="00A9163D"/>
    <w:rsid w:val="00A9195A"/>
    <w:rsid w:val="00A91FA5"/>
    <w:rsid w:val="00A9209D"/>
    <w:rsid w:val="00A92142"/>
    <w:rsid w:val="00A923CD"/>
    <w:rsid w:val="00A926FA"/>
    <w:rsid w:val="00A92B1C"/>
    <w:rsid w:val="00A92C9C"/>
    <w:rsid w:val="00A9320E"/>
    <w:rsid w:val="00A93269"/>
    <w:rsid w:val="00A93640"/>
    <w:rsid w:val="00A93F8E"/>
    <w:rsid w:val="00A94193"/>
    <w:rsid w:val="00A94478"/>
    <w:rsid w:val="00A949E9"/>
    <w:rsid w:val="00A95DD1"/>
    <w:rsid w:val="00A96249"/>
    <w:rsid w:val="00A96354"/>
    <w:rsid w:val="00A9684B"/>
    <w:rsid w:val="00A96C8B"/>
    <w:rsid w:val="00A9787C"/>
    <w:rsid w:val="00A97D3B"/>
    <w:rsid w:val="00AA12B6"/>
    <w:rsid w:val="00AA1726"/>
    <w:rsid w:val="00AA1907"/>
    <w:rsid w:val="00AA1B58"/>
    <w:rsid w:val="00AA1EDB"/>
    <w:rsid w:val="00AA31EE"/>
    <w:rsid w:val="00AA3ACD"/>
    <w:rsid w:val="00AA4250"/>
    <w:rsid w:val="00AA4311"/>
    <w:rsid w:val="00AA46BA"/>
    <w:rsid w:val="00AA46C3"/>
    <w:rsid w:val="00AA4D6C"/>
    <w:rsid w:val="00AA4DF2"/>
    <w:rsid w:val="00AA4E56"/>
    <w:rsid w:val="00AA4F05"/>
    <w:rsid w:val="00AA5353"/>
    <w:rsid w:val="00AA53E9"/>
    <w:rsid w:val="00AA55E2"/>
    <w:rsid w:val="00AA5938"/>
    <w:rsid w:val="00AA64E3"/>
    <w:rsid w:val="00AA66A5"/>
    <w:rsid w:val="00AA6866"/>
    <w:rsid w:val="00AA6D63"/>
    <w:rsid w:val="00AA7EBC"/>
    <w:rsid w:val="00AB04AB"/>
    <w:rsid w:val="00AB06F3"/>
    <w:rsid w:val="00AB0ADD"/>
    <w:rsid w:val="00AB13CF"/>
    <w:rsid w:val="00AB153A"/>
    <w:rsid w:val="00AB15EE"/>
    <w:rsid w:val="00AB1600"/>
    <w:rsid w:val="00AB19D0"/>
    <w:rsid w:val="00AB2180"/>
    <w:rsid w:val="00AB25A0"/>
    <w:rsid w:val="00AB2B19"/>
    <w:rsid w:val="00AB309E"/>
    <w:rsid w:val="00AB3242"/>
    <w:rsid w:val="00AB3525"/>
    <w:rsid w:val="00AB4819"/>
    <w:rsid w:val="00AB4950"/>
    <w:rsid w:val="00AB4A32"/>
    <w:rsid w:val="00AB529E"/>
    <w:rsid w:val="00AB52EF"/>
    <w:rsid w:val="00AB54DF"/>
    <w:rsid w:val="00AB595C"/>
    <w:rsid w:val="00AB5BC2"/>
    <w:rsid w:val="00AB5E20"/>
    <w:rsid w:val="00AB6008"/>
    <w:rsid w:val="00AB62F4"/>
    <w:rsid w:val="00AB65EC"/>
    <w:rsid w:val="00AB6B08"/>
    <w:rsid w:val="00AB6CDF"/>
    <w:rsid w:val="00AC0F72"/>
    <w:rsid w:val="00AC1F5B"/>
    <w:rsid w:val="00AC1FBF"/>
    <w:rsid w:val="00AC210B"/>
    <w:rsid w:val="00AC28BF"/>
    <w:rsid w:val="00AC294B"/>
    <w:rsid w:val="00AC2BB5"/>
    <w:rsid w:val="00AC361E"/>
    <w:rsid w:val="00AC372A"/>
    <w:rsid w:val="00AC38C6"/>
    <w:rsid w:val="00AC3937"/>
    <w:rsid w:val="00AC3A9C"/>
    <w:rsid w:val="00AC3FF2"/>
    <w:rsid w:val="00AC4290"/>
    <w:rsid w:val="00AC433F"/>
    <w:rsid w:val="00AC45D6"/>
    <w:rsid w:val="00AC4CDE"/>
    <w:rsid w:val="00AC500F"/>
    <w:rsid w:val="00AC524F"/>
    <w:rsid w:val="00AC5B26"/>
    <w:rsid w:val="00AC5F90"/>
    <w:rsid w:val="00AC69F2"/>
    <w:rsid w:val="00AC6A8D"/>
    <w:rsid w:val="00AC6A98"/>
    <w:rsid w:val="00AC78A5"/>
    <w:rsid w:val="00AC79B1"/>
    <w:rsid w:val="00AD0444"/>
    <w:rsid w:val="00AD05CE"/>
    <w:rsid w:val="00AD175E"/>
    <w:rsid w:val="00AD176C"/>
    <w:rsid w:val="00AD1A28"/>
    <w:rsid w:val="00AD2891"/>
    <w:rsid w:val="00AD30C9"/>
    <w:rsid w:val="00AD3191"/>
    <w:rsid w:val="00AD31EB"/>
    <w:rsid w:val="00AD370B"/>
    <w:rsid w:val="00AD43E5"/>
    <w:rsid w:val="00AD4743"/>
    <w:rsid w:val="00AD5BCA"/>
    <w:rsid w:val="00AD5C74"/>
    <w:rsid w:val="00AD615B"/>
    <w:rsid w:val="00AD62B4"/>
    <w:rsid w:val="00AD6418"/>
    <w:rsid w:val="00AD6520"/>
    <w:rsid w:val="00AD702D"/>
    <w:rsid w:val="00AD7438"/>
    <w:rsid w:val="00AD751A"/>
    <w:rsid w:val="00AD75CD"/>
    <w:rsid w:val="00AD7BE6"/>
    <w:rsid w:val="00AE007A"/>
    <w:rsid w:val="00AE0097"/>
    <w:rsid w:val="00AE0968"/>
    <w:rsid w:val="00AE0FC6"/>
    <w:rsid w:val="00AE1A60"/>
    <w:rsid w:val="00AE2010"/>
    <w:rsid w:val="00AE2078"/>
    <w:rsid w:val="00AE25C0"/>
    <w:rsid w:val="00AE25E6"/>
    <w:rsid w:val="00AE293F"/>
    <w:rsid w:val="00AE373E"/>
    <w:rsid w:val="00AE3B0E"/>
    <w:rsid w:val="00AE3F20"/>
    <w:rsid w:val="00AE43E4"/>
    <w:rsid w:val="00AE46D9"/>
    <w:rsid w:val="00AE4C3B"/>
    <w:rsid w:val="00AE4DEE"/>
    <w:rsid w:val="00AE5A0E"/>
    <w:rsid w:val="00AE5B74"/>
    <w:rsid w:val="00AE5D26"/>
    <w:rsid w:val="00AE6B74"/>
    <w:rsid w:val="00AE6EFD"/>
    <w:rsid w:val="00AE7149"/>
    <w:rsid w:val="00AE73D7"/>
    <w:rsid w:val="00AE7409"/>
    <w:rsid w:val="00AE7DD0"/>
    <w:rsid w:val="00AF046E"/>
    <w:rsid w:val="00AF117D"/>
    <w:rsid w:val="00AF1206"/>
    <w:rsid w:val="00AF153C"/>
    <w:rsid w:val="00AF1E31"/>
    <w:rsid w:val="00AF2343"/>
    <w:rsid w:val="00AF249A"/>
    <w:rsid w:val="00AF27BC"/>
    <w:rsid w:val="00AF2B2A"/>
    <w:rsid w:val="00AF3689"/>
    <w:rsid w:val="00AF36B1"/>
    <w:rsid w:val="00AF39BD"/>
    <w:rsid w:val="00AF42A4"/>
    <w:rsid w:val="00AF438C"/>
    <w:rsid w:val="00AF479A"/>
    <w:rsid w:val="00AF483D"/>
    <w:rsid w:val="00AF503F"/>
    <w:rsid w:val="00AF50A2"/>
    <w:rsid w:val="00AF59EF"/>
    <w:rsid w:val="00AF6293"/>
    <w:rsid w:val="00AF6333"/>
    <w:rsid w:val="00AF69CD"/>
    <w:rsid w:val="00AF6DBB"/>
    <w:rsid w:val="00AF6EC6"/>
    <w:rsid w:val="00AF748F"/>
    <w:rsid w:val="00AF7697"/>
    <w:rsid w:val="00AF7BF0"/>
    <w:rsid w:val="00AF7FC6"/>
    <w:rsid w:val="00B001A1"/>
    <w:rsid w:val="00B00351"/>
    <w:rsid w:val="00B01031"/>
    <w:rsid w:val="00B0134F"/>
    <w:rsid w:val="00B01726"/>
    <w:rsid w:val="00B017CD"/>
    <w:rsid w:val="00B01B58"/>
    <w:rsid w:val="00B02269"/>
    <w:rsid w:val="00B02A0E"/>
    <w:rsid w:val="00B031C9"/>
    <w:rsid w:val="00B043B4"/>
    <w:rsid w:val="00B04557"/>
    <w:rsid w:val="00B04733"/>
    <w:rsid w:val="00B047ED"/>
    <w:rsid w:val="00B0487B"/>
    <w:rsid w:val="00B04E8A"/>
    <w:rsid w:val="00B05159"/>
    <w:rsid w:val="00B05567"/>
    <w:rsid w:val="00B05973"/>
    <w:rsid w:val="00B059FB"/>
    <w:rsid w:val="00B05AA3"/>
    <w:rsid w:val="00B05D4D"/>
    <w:rsid w:val="00B05E13"/>
    <w:rsid w:val="00B05FF1"/>
    <w:rsid w:val="00B06DAC"/>
    <w:rsid w:val="00B06FEE"/>
    <w:rsid w:val="00B072C8"/>
    <w:rsid w:val="00B07573"/>
    <w:rsid w:val="00B0769A"/>
    <w:rsid w:val="00B077B3"/>
    <w:rsid w:val="00B0795B"/>
    <w:rsid w:val="00B07D51"/>
    <w:rsid w:val="00B1026A"/>
    <w:rsid w:val="00B10970"/>
    <w:rsid w:val="00B10FD6"/>
    <w:rsid w:val="00B11412"/>
    <w:rsid w:val="00B12DB9"/>
    <w:rsid w:val="00B12E11"/>
    <w:rsid w:val="00B12E85"/>
    <w:rsid w:val="00B131F7"/>
    <w:rsid w:val="00B13D1C"/>
    <w:rsid w:val="00B1403E"/>
    <w:rsid w:val="00B14093"/>
    <w:rsid w:val="00B147F1"/>
    <w:rsid w:val="00B150DC"/>
    <w:rsid w:val="00B1536F"/>
    <w:rsid w:val="00B1551F"/>
    <w:rsid w:val="00B164F5"/>
    <w:rsid w:val="00B165A8"/>
    <w:rsid w:val="00B16650"/>
    <w:rsid w:val="00B167E7"/>
    <w:rsid w:val="00B168B2"/>
    <w:rsid w:val="00B16DBB"/>
    <w:rsid w:val="00B16EEE"/>
    <w:rsid w:val="00B170AC"/>
    <w:rsid w:val="00B174DD"/>
    <w:rsid w:val="00B1751D"/>
    <w:rsid w:val="00B17CAB"/>
    <w:rsid w:val="00B17DA0"/>
    <w:rsid w:val="00B20587"/>
    <w:rsid w:val="00B207EA"/>
    <w:rsid w:val="00B215F7"/>
    <w:rsid w:val="00B216DF"/>
    <w:rsid w:val="00B21952"/>
    <w:rsid w:val="00B21A52"/>
    <w:rsid w:val="00B21B82"/>
    <w:rsid w:val="00B21D7D"/>
    <w:rsid w:val="00B21F1B"/>
    <w:rsid w:val="00B223F1"/>
    <w:rsid w:val="00B23004"/>
    <w:rsid w:val="00B23A02"/>
    <w:rsid w:val="00B23E38"/>
    <w:rsid w:val="00B26172"/>
    <w:rsid w:val="00B2621A"/>
    <w:rsid w:val="00B26260"/>
    <w:rsid w:val="00B263FE"/>
    <w:rsid w:val="00B26C0B"/>
    <w:rsid w:val="00B26C63"/>
    <w:rsid w:val="00B2739A"/>
    <w:rsid w:val="00B279A3"/>
    <w:rsid w:val="00B27E97"/>
    <w:rsid w:val="00B30238"/>
    <w:rsid w:val="00B30267"/>
    <w:rsid w:val="00B3054D"/>
    <w:rsid w:val="00B30F7A"/>
    <w:rsid w:val="00B312F8"/>
    <w:rsid w:val="00B3132F"/>
    <w:rsid w:val="00B31F7E"/>
    <w:rsid w:val="00B320C3"/>
    <w:rsid w:val="00B32223"/>
    <w:rsid w:val="00B3297B"/>
    <w:rsid w:val="00B32A6F"/>
    <w:rsid w:val="00B33115"/>
    <w:rsid w:val="00B3392A"/>
    <w:rsid w:val="00B33CD6"/>
    <w:rsid w:val="00B34441"/>
    <w:rsid w:val="00B34564"/>
    <w:rsid w:val="00B3489C"/>
    <w:rsid w:val="00B35C78"/>
    <w:rsid w:val="00B362E6"/>
    <w:rsid w:val="00B36570"/>
    <w:rsid w:val="00B36814"/>
    <w:rsid w:val="00B369CF"/>
    <w:rsid w:val="00B37146"/>
    <w:rsid w:val="00B37EC0"/>
    <w:rsid w:val="00B405B0"/>
    <w:rsid w:val="00B40E14"/>
    <w:rsid w:val="00B4131C"/>
    <w:rsid w:val="00B41349"/>
    <w:rsid w:val="00B419F4"/>
    <w:rsid w:val="00B42631"/>
    <w:rsid w:val="00B42A96"/>
    <w:rsid w:val="00B42DBB"/>
    <w:rsid w:val="00B432B6"/>
    <w:rsid w:val="00B43F0C"/>
    <w:rsid w:val="00B4499A"/>
    <w:rsid w:val="00B44DAD"/>
    <w:rsid w:val="00B45586"/>
    <w:rsid w:val="00B456D7"/>
    <w:rsid w:val="00B45BF7"/>
    <w:rsid w:val="00B46B55"/>
    <w:rsid w:val="00B46BAD"/>
    <w:rsid w:val="00B46D64"/>
    <w:rsid w:val="00B46E36"/>
    <w:rsid w:val="00B500B6"/>
    <w:rsid w:val="00B51074"/>
    <w:rsid w:val="00B516B1"/>
    <w:rsid w:val="00B516CD"/>
    <w:rsid w:val="00B51A0B"/>
    <w:rsid w:val="00B51C43"/>
    <w:rsid w:val="00B51C91"/>
    <w:rsid w:val="00B52093"/>
    <w:rsid w:val="00B52303"/>
    <w:rsid w:val="00B52DA1"/>
    <w:rsid w:val="00B5357F"/>
    <w:rsid w:val="00B5400F"/>
    <w:rsid w:val="00B55908"/>
    <w:rsid w:val="00B55C3A"/>
    <w:rsid w:val="00B55CAC"/>
    <w:rsid w:val="00B5672A"/>
    <w:rsid w:val="00B568C7"/>
    <w:rsid w:val="00B56D2B"/>
    <w:rsid w:val="00B56F12"/>
    <w:rsid w:val="00B60615"/>
    <w:rsid w:val="00B608C4"/>
    <w:rsid w:val="00B619B9"/>
    <w:rsid w:val="00B623B4"/>
    <w:rsid w:val="00B6265A"/>
    <w:rsid w:val="00B62B57"/>
    <w:rsid w:val="00B62BA7"/>
    <w:rsid w:val="00B6333F"/>
    <w:rsid w:val="00B636F2"/>
    <w:rsid w:val="00B63A26"/>
    <w:rsid w:val="00B63B9A"/>
    <w:rsid w:val="00B63D47"/>
    <w:rsid w:val="00B63FAA"/>
    <w:rsid w:val="00B64048"/>
    <w:rsid w:val="00B64080"/>
    <w:rsid w:val="00B65122"/>
    <w:rsid w:val="00B65570"/>
    <w:rsid w:val="00B66CF2"/>
    <w:rsid w:val="00B673F2"/>
    <w:rsid w:val="00B67948"/>
    <w:rsid w:val="00B67ACE"/>
    <w:rsid w:val="00B67D6E"/>
    <w:rsid w:val="00B70344"/>
    <w:rsid w:val="00B70E7D"/>
    <w:rsid w:val="00B71835"/>
    <w:rsid w:val="00B722C0"/>
    <w:rsid w:val="00B722C4"/>
    <w:rsid w:val="00B72356"/>
    <w:rsid w:val="00B7249B"/>
    <w:rsid w:val="00B725BE"/>
    <w:rsid w:val="00B72BD4"/>
    <w:rsid w:val="00B73045"/>
    <w:rsid w:val="00B733A2"/>
    <w:rsid w:val="00B737EB"/>
    <w:rsid w:val="00B7457D"/>
    <w:rsid w:val="00B74610"/>
    <w:rsid w:val="00B74AE0"/>
    <w:rsid w:val="00B75339"/>
    <w:rsid w:val="00B754DB"/>
    <w:rsid w:val="00B75C7D"/>
    <w:rsid w:val="00B75F56"/>
    <w:rsid w:val="00B76956"/>
    <w:rsid w:val="00B76B60"/>
    <w:rsid w:val="00B76C8B"/>
    <w:rsid w:val="00B77755"/>
    <w:rsid w:val="00B778EF"/>
    <w:rsid w:val="00B77922"/>
    <w:rsid w:val="00B77D9A"/>
    <w:rsid w:val="00B80CA9"/>
    <w:rsid w:val="00B81948"/>
    <w:rsid w:val="00B81F03"/>
    <w:rsid w:val="00B822BC"/>
    <w:rsid w:val="00B8298C"/>
    <w:rsid w:val="00B829B3"/>
    <w:rsid w:val="00B82B0C"/>
    <w:rsid w:val="00B82B48"/>
    <w:rsid w:val="00B82E17"/>
    <w:rsid w:val="00B82F21"/>
    <w:rsid w:val="00B82F32"/>
    <w:rsid w:val="00B82F34"/>
    <w:rsid w:val="00B83472"/>
    <w:rsid w:val="00B83622"/>
    <w:rsid w:val="00B8470C"/>
    <w:rsid w:val="00B84AC4"/>
    <w:rsid w:val="00B84C0C"/>
    <w:rsid w:val="00B857B4"/>
    <w:rsid w:val="00B85AB5"/>
    <w:rsid w:val="00B85ACF"/>
    <w:rsid w:val="00B86012"/>
    <w:rsid w:val="00B86116"/>
    <w:rsid w:val="00B86F1F"/>
    <w:rsid w:val="00B873F6"/>
    <w:rsid w:val="00B87703"/>
    <w:rsid w:val="00B878E0"/>
    <w:rsid w:val="00B87906"/>
    <w:rsid w:val="00B90026"/>
    <w:rsid w:val="00B906E7"/>
    <w:rsid w:val="00B9093D"/>
    <w:rsid w:val="00B90B1F"/>
    <w:rsid w:val="00B90C8D"/>
    <w:rsid w:val="00B9146B"/>
    <w:rsid w:val="00B91E46"/>
    <w:rsid w:val="00B923B2"/>
    <w:rsid w:val="00B926CD"/>
    <w:rsid w:val="00B93A13"/>
    <w:rsid w:val="00B93A59"/>
    <w:rsid w:val="00B93D8D"/>
    <w:rsid w:val="00B94702"/>
    <w:rsid w:val="00B94A48"/>
    <w:rsid w:val="00B95178"/>
    <w:rsid w:val="00B95A51"/>
    <w:rsid w:val="00B95D77"/>
    <w:rsid w:val="00B961D9"/>
    <w:rsid w:val="00B9633F"/>
    <w:rsid w:val="00B966A4"/>
    <w:rsid w:val="00B971F3"/>
    <w:rsid w:val="00B976B9"/>
    <w:rsid w:val="00B97C82"/>
    <w:rsid w:val="00BA008F"/>
    <w:rsid w:val="00BA00F0"/>
    <w:rsid w:val="00BA027E"/>
    <w:rsid w:val="00BA0A38"/>
    <w:rsid w:val="00BA0F11"/>
    <w:rsid w:val="00BA1287"/>
    <w:rsid w:val="00BA12BF"/>
    <w:rsid w:val="00BA1620"/>
    <w:rsid w:val="00BA1B90"/>
    <w:rsid w:val="00BA1C7E"/>
    <w:rsid w:val="00BA1DFF"/>
    <w:rsid w:val="00BA2002"/>
    <w:rsid w:val="00BA2B3E"/>
    <w:rsid w:val="00BA2F63"/>
    <w:rsid w:val="00BA3117"/>
    <w:rsid w:val="00BA3718"/>
    <w:rsid w:val="00BA3F6F"/>
    <w:rsid w:val="00BA4B34"/>
    <w:rsid w:val="00BA4C5A"/>
    <w:rsid w:val="00BA4C69"/>
    <w:rsid w:val="00BA55D4"/>
    <w:rsid w:val="00BA5F57"/>
    <w:rsid w:val="00BA6020"/>
    <w:rsid w:val="00BA69D2"/>
    <w:rsid w:val="00BA6F35"/>
    <w:rsid w:val="00BA711E"/>
    <w:rsid w:val="00BA71F0"/>
    <w:rsid w:val="00BA7666"/>
    <w:rsid w:val="00BA7710"/>
    <w:rsid w:val="00BA778F"/>
    <w:rsid w:val="00BA7ACC"/>
    <w:rsid w:val="00BB0699"/>
    <w:rsid w:val="00BB0E7D"/>
    <w:rsid w:val="00BB114E"/>
    <w:rsid w:val="00BB1210"/>
    <w:rsid w:val="00BB1262"/>
    <w:rsid w:val="00BB13C5"/>
    <w:rsid w:val="00BB1BAC"/>
    <w:rsid w:val="00BB1EED"/>
    <w:rsid w:val="00BB2401"/>
    <w:rsid w:val="00BB2DAB"/>
    <w:rsid w:val="00BB3453"/>
    <w:rsid w:val="00BB374F"/>
    <w:rsid w:val="00BB4DC2"/>
    <w:rsid w:val="00BB50DA"/>
    <w:rsid w:val="00BB5D7A"/>
    <w:rsid w:val="00BB5DB2"/>
    <w:rsid w:val="00BB5F66"/>
    <w:rsid w:val="00BB6393"/>
    <w:rsid w:val="00BB6399"/>
    <w:rsid w:val="00BB6B70"/>
    <w:rsid w:val="00BB6E2D"/>
    <w:rsid w:val="00BB70DA"/>
    <w:rsid w:val="00BB70E6"/>
    <w:rsid w:val="00BB7522"/>
    <w:rsid w:val="00BB75B9"/>
    <w:rsid w:val="00BB77A5"/>
    <w:rsid w:val="00BB78A9"/>
    <w:rsid w:val="00BB7AE8"/>
    <w:rsid w:val="00BC0033"/>
    <w:rsid w:val="00BC09D6"/>
    <w:rsid w:val="00BC2210"/>
    <w:rsid w:val="00BC25E0"/>
    <w:rsid w:val="00BC2F23"/>
    <w:rsid w:val="00BC35BD"/>
    <w:rsid w:val="00BC36D1"/>
    <w:rsid w:val="00BC390D"/>
    <w:rsid w:val="00BC44C9"/>
    <w:rsid w:val="00BC49B8"/>
    <w:rsid w:val="00BC4D69"/>
    <w:rsid w:val="00BC51A3"/>
    <w:rsid w:val="00BC532C"/>
    <w:rsid w:val="00BC533D"/>
    <w:rsid w:val="00BC58E0"/>
    <w:rsid w:val="00BC5D64"/>
    <w:rsid w:val="00BC63D0"/>
    <w:rsid w:val="00BC6A52"/>
    <w:rsid w:val="00BC70D6"/>
    <w:rsid w:val="00BC7572"/>
    <w:rsid w:val="00BC7B12"/>
    <w:rsid w:val="00BC7CFF"/>
    <w:rsid w:val="00BD00F4"/>
    <w:rsid w:val="00BD019E"/>
    <w:rsid w:val="00BD1FE8"/>
    <w:rsid w:val="00BD21F8"/>
    <w:rsid w:val="00BD247D"/>
    <w:rsid w:val="00BD29F0"/>
    <w:rsid w:val="00BD4113"/>
    <w:rsid w:val="00BD41B2"/>
    <w:rsid w:val="00BD44CC"/>
    <w:rsid w:val="00BD4510"/>
    <w:rsid w:val="00BD48A8"/>
    <w:rsid w:val="00BD4A9E"/>
    <w:rsid w:val="00BD4E1E"/>
    <w:rsid w:val="00BD5011"/>
    <w:rsid w:val="00BD51E9"/>
    <w:rsid w:val="00BD5219"/>
    <w:rsid w:val="00BD5595"/>
    <w:rsid w:val="00BD5651"/>
    <w:rsid w:val="00BD5659"/>
    <w:rsid w:val="00BD6473"/>
    <w:rsid w:val="00BD677D"/>
    <w:rsid w:val="00BD7BF8"/>
    <w:rsid w:val="00BD7EA0"/>
    <w:rsid w:val="00BE02A2"/>
    <w:rsid w:val="00BE02AE"/>
    <w:rsid w:val="00BE03AB"/>
    <w:rsid w:val="00BE03DA"/>
    <w:rsid w:val="00BE11CC"/>
    <w:rsid w:val="00BE202B"/>
    <w:rsid w:val="00BE2146"/>
    <w:rsid w:val="00BE26DE"/>
    <w:rsid w:val="00BE2775"/>
    <w:rsid w:val="00BE2A21"/>
    <w:rsid w:val="00BE31EF"/>
    <w:rsid w:val="00BE41C8"/>
    <w:rsid w:val="00BE45AC"/>
    <w:rsid w:val="00BE4B14"/>
    <w:rsid w:val="00BE4CBC"/>
    <w:rsid w:val="00BE5118"/>
    <w:rsid w:val="00BE55C7"/>
    <w:rsid w:val="00BE5DB2"/>
    <w:rsid w:val="00BE5F1F"/>
    <w:rsid w:val="00BE66CD"/>
    <w:rsid w:val="00BE6971"/>
    <w:rsid w:val="00BE6B30"/>
    <w:rsid w:val="00BE6E65"/>
    <w:rsid w:val="00BE761B"/>
    <w:rsid w:val="00BE7893"/>
    <w:rsid w:val="00BE7B4B"/>
    <w:rsid w:val="00BF0AF7"/>
    <w:rsid w:val="00BF132A"/>
    <w:rsid w:val="00BF14C6"/>
    <w:rsid w:val="00BF1577"/>
    <w:rsid w:val="00BF1770"/>
    <w:rsid w:val="00BF1781"/>
    <w:rsid w:val="00BF18D4"/>
    <w:rsid w:val="00BF1B20"/>
    <w:rsid w:val="00BF1DCB"/>
    <w:rsid w:val="00BF1E1C"/>
    <w:rsid w:val="00BF1FA4"/>
    <w:rsid w:val="00BF2547"/>
    <w:rsid w:val="00BF255C"/>
    <w:rsid w:val="00BF26F9"/>
    <w:rsid w:val="00BF2B91"/>
    <w:rsid w:val="00BF3547"/>
    <w:rsid w:val="00BF35F4"/>
    <w:rsid w:val="00BF37C7"/>
    <w:rsid w:val="00BF3A06"/>
    <w:rsid w:val="00BF3B2E"/>
    <w:rsid w:val="00BF45BA"/>
    <w:rsid w:val="00BF493C"/>
    <w:rsid w:val="00BF54C0"/>
    <w:rsid w:val="00BF57DA"/>
    <w:rsid w:val="00BF5A85"/>
    <w:rsid w:val="00BF5D32"/>
    <w:rsid w:val="00BF612E"/>
    <w:rsid w:val="00BF66C9"/>
    <w:rsid w:val="00BF6822"/>
    <w:rsid w:val="00BF687B"/>
    <w:rsid w:val="00BF6D7A"/>
    <w:rsid w:val="00BF7757"/>
    <w:rsid w:val="00BF7EB6"/>
    <w:rsid w:val="00BF7FEE"/>
    <w:rsid w:val="00C0067A"/>
    <w:rsid w:val="00C00769"/>
    <w:rsid w:val="00C011B5"/>
    <w:rsid w:val="00C01C13"/>
    <w:rsid w:val="00C01DD6"/>
    <w:rsid w:val="00C028B8"/>
    <w:rsid w:val="00C02A3D"/>
    <w:rsid w:val="00C02CF4"/>
    <w:rsid w:val="00C02DAD"/>
    <w:rsid w:val="00C04436"/>
    <w:rsid w:val="00C0472E"/>
    <w:rsid w:val="00C0491B"/>
    <w:rsid w:val="00C055F3"/>
    <w:rsid w:val="00C060DE"/>
    <w:rsid w:val="00C060F2"/>
    <w:rsid w:val="00C06166"/>
    <w:rsid w:val="00C06783"/>
    <w:rsid w:val="00C06969"/>
    <w:rsid w:val="00C06ED4"/>
    <w:rsid w:val="00C06F68"/>
    <w:rsid w:val="00C072C9"/>
    <w:rsid w:val="00C077D8"/>
    <w:rsid w:val="00C07A9F"/>
    <w:rsid w:val="00C109A6"/>
    <w:rsid w:val="00C10C9C"/>
    <w:rsid w:val="00C10CCC"/>
    <w:rsid w:val="00C10DC0"/>
    <w:rsid w:val="00C1207C"/>
    <w:rsid w:val="00C12B72"/>
    <w:rsid w:val="00C13072"/>
    <w:rsid w:val="00C1327F"/>
    <w:rsid w:val="00C132E7"/>
    <w:rsid w:val="00C135A4"/>
    <w:rsid w:val="00C13E70"/>
    <w:rsid w:val="00C14074"/>
    <w:rsid w:val="00C145C1"/>
    <w:rsid w:val="00C14A77"/>
    <w:rsid w:val="00C14CA0"/>
    <w:rsid w:val="00C1525D"/>
    <w:rsid w:val="00C157EC"/>
    <w:rsid w:val="00C16223"/>
    <w:rsid w:val="00C162AE"/>
    <w:rsid w:val="00C16836"/>
    <w:rsid w:val="00C16F73"/>
    <w:rsid w:val="00C17027"/>
    <w:rsid w:val="00C170EF"/>
    <w:rsid w:val="00C17748"/>
    <w:rsid w:val="00C2034A"/>
    <w:rsid w:val="00C20429"/>
    <w:rsid w:val="00C20FD2"/>
    <w:rsid w:val="00C2159A"/>
    <w:rsid w:val="00C21E65"/>
    <w:rsid w:val="00C21E9E"/>
    <w:rsid w:val="00C221AE"/>
    <w:rsid w:val="00C2262F"/>
    <w:rsid w:val="00C22F24"/>
    <w:rsid w:val="00C23B3A"/>
    <w:rsid w:val="00C23CF8"/>
    <w:rsid w:val="00C23D5B"/>
    <w:rsid w:val="00C23F8D"/>
    <w:rsid w:val="00C2410B"/>
    <w:rsid w:val="00C241D6"/>
    <w:rsid w:val="00C243B2"/>
    <w:rsid w:val="00C249C8"/>
    <w:rsid w:val="00C253F1"/>
    <w:rsid w:val="00C25581"/>
    <w:rsid w:val="00C255A9"/>
    <w:rsid w:val="00C260FE"/>
    <w:rsid w:val="00C26219"/>
    <w:rsid w:val="00C2621B"/>
    <w:rsid w:val="00C26361"/>
    <w:rsid w:val="00C263EA"/>
    <w:rsid w:val="00C2681A"/>
    <w:rsid w:val="00C27401"/>
    <w:rsid w:val="00C2778B"/>
    <w:rsid w:val="00C27A92"/>
    <w:rsid w:val="00C3015E"/>
    <w:rsid w:val="00C30771"/>
    <w:rsid w:val="00C307C1"/>
    <w:rsid w:val="00C30BE4"/>
    <w:rsid w:val="00C30CC3"/>
    <w:rsid w:val="00C31A15"/>
    <w:rsid w:val="00C31D0B"/>
    <w:rsid w:val="00C32201"/>
    <w:rsid w:val="00C32A7F"/>
    <w:rsid w:val="00C33807"/>
    <w:rsid w:val="00C3383C"/>
    <w:rsid w:val="00C338CA"/>
    <w:rsid w:val="00C3427F"/>
    <w:rsid w:val="00C34349"/>
    <w:rsid w:val="00C34E06"/>
    <w:rsid w:val="00C350FB"/>
    <w:rsid w:val="00C35395"/>
    <w:rsid w:val="00C359A5"/>
    <w:rsid w:val="00C35DB5"/>
    <w:rsid w:val="00C35F4D"/>
    <w:rsid w:val="00C36131"/>
    <w:rsid w:val="00C36349"/>
    <w:rsid w:val="00C3661F"/>
    <w:rsid w:val="00C37263"/>
    <w:rsid w:val="00C372D0"/>
    <w:rsid w:val="00C37313"/>
    <w:rsid w:val="00C37324"/>
    <w:rsid w:val="00C378F0"/>
    <w:rsid w:val="00C40C13"/>
    <w:rsid w:val="00C41025"/>
    <w:rsid w:val="00C41409"/>
    <w:rsid w:val="00C4154C"/>
    <w:rsid w:val="00C41EC6"/>
    <w:rsid w:val="00C426B4"/>
    <w:rsid w:val="00C42E51"/>
    <w:rsid w:val="00C43488"/>
    <w:rsid w:val="00C43B72"/>
    <w:rsid w:val="00C43BA5"/>
    <w:rsid w:val="00C440D1"/>
    <w:rsid w:val="00C442C2"/>
    <w:rsid w:val="00C44906"/>
    <w:rsid w:val="00C449EF"/>
    <w:rsid w:val="00C45392"/>
    <w:rsid w:val="00C46088"/>
    <w:rsid w:val="00C46626"/>
    <w:rsid w:val="00C468F7"/>
    <w:rsid w:val="00C468FD"/>
    <w:rsid w:val="00C472C0"/>
    <w:rsid w:val="00C47939"/>
    <w:rsid w:val="00C50794"/>
    <w:rsid w:val="00C5114C"/>
    <w:rsid w:val="00C51609"/>
    <w:rsid w:val="00C517D0"/>
    <w:rsid w:val="00C51B0E"/>
    <w:rsid w:val="00C52C1D"/>
    <w:rsid w:val="00C52F4F"/>
    <w:rsid w:val="00C535B9"/>
    <w:rsid w:val="00C53F2C"/>
    <w:rsid w:val="00C5478E"/>
    <w:rsid w:val="00C54D04"/>
    <w:rsid w:val="00C54E1C"/>
    <w:rsid w:val="00C552FC"/>
    <w:rsid w:val="00C55634"/>
    <w:rsid w:val="00C564D3"/>
    <w:rsid w:val="00C5689A"/>
    <w:rsid w:val="00C5724F"/>
    <w:rsid w:val="00C57849"/>
    <w:rsid w:val="00C57D64"/>
    <w:rsid w:val="00C607B8"/>
    <w:rsid w:val="00C60990"/>
    <w:rsid w:val="00C60A74"/>
    <w:rsid w:val="00C60D34"/>
    <w:rsid w:val="00C610AE"/>
    <w:rsid w:val="00C6134D"/>
    <w:rsid w:val="00C615A8"/>
    <w:rsid w:val="00C6160F"/>
    <w:rsid w:val="00C61869"/>
    <w:rsid w:val="00C61918"/>
    <w:rsid w:val="00C6230E"/>
    <w:rsid w:val="00C6238D"/>
    <w:rsid w:val="00C62F70"/>
    <w:rsid w:val="00C63095"/>
    <w:rsid w:val="00C63217"/>
    <w:rsid w:val="00C634D3"/>
    <w:rsid w:val="00C6351D"/>
    <w:rsid w:val="00C63FB4"/>
    <w:rsid w:val="00C64213"/>
    <w:rsid w:val="00C642CC"/>
    <w:rsid w:val="00C6440F"/>
    <w:rsid w:val="00C645B8"/>
    <w:rsid w:val="00C64BDD"/>
    <w:rsid w:val="00C651B6"/>
    <w:rsid w:val="00C6574F"/>
    <w:rsid w:val="00C65D29"/>
    <w:rsid w:val="00C65F7B"/>
    <w:rsid w:val="00C661EC"/>
    <w:rsid w:val="00C667A5"/>
    <w:rsid w:val="00C66A98"/>
    <w:rsid w:val="00C67327"/>
    <w:rsid w:val="00C67965"/>
    <w:rsid w:val="00C70052"/>
    <w:rsid w:val="00C70547"/>
    <w:rsid w:val="00C7065F"/>
    <w:rsid w:val="00C7178B"/>
    <w:rsid w:val="00C71A11"/>
    <w:rsid w:val="00C7273A"/>
    <w:rsid w:val="00C72BF8"/>
    <w:rsid w:val="00C72F95"/>
    <w:rsid w:val="00C739D6"/>
    <w:rsid w:val="00C739F5"/>
    <w:rsid w:val="00C73A83"/>
    <w:rsid w:val="00C73BB4"/>
    <w:rsid w:val="00C73CDF"/>
    <w:rsid w:val="00C7434F"/>
    <w:rsid w:val="00C74A6C"/>
    <w:rsid w:val="00C74D97"/>
    <w:rsid w:val="00C75113"/>
    <w:rsid w:val="00C7547C"/>
    <w:rsid w:val="00C75861"/>
    <w:rsid w:val="00C75A40"/>
    <w:rsid w:val="00C75CB5"/>
    <w:rsid w:val="00C75F4E"/>
    <w:rsid w:val="00C76175"/>
    <w:rsid w:val="00C7633C"/>
    <w:rsid w:val="00C76683"/>
    <w:rsid w:val="00C7670B"/>
    <w:rsid w:val="00C76D4B"/>
    <w:rsid w:val="00C77A94"/>
    <w:rsid w:val="00C77CA1"/>
    <w:rsid w:val="00C8011C"/>
    <w:rsid w:val="00C807C5"/>
    <w:rsid w:val="00C80AF9"/>
    <w:rsid w:val="00C80DA3"/>
    <w:rsid w:val="00C8163A"/>
    <w:rsid w:val="00C81F5D"/>
    <w:rsid w:val="00C81F96"/>
    <w:rsid w:val="00C8249E"/>
    <w:rsid w:val="00C82FE3"/>
    <w:rsid w:val="00C83238"/>
    <w:rsid w:val="00C8380E"/>
    <w:rsid w:val="00C8392E"/>
    <w:rsid w:val="00C83ED0"/>
    <w:rsid w:val="00C8417B"/>
    <w:rsid w:val="00C843AD"/>
    <w:rsid w:val="00C84471"/>
    <w:rsid w:val="00C8472D"/>
    <w:rsid w:val="00C848D8"/>
    <w:rsid w:val="00C84BAF"/>
    <w:rsid w:val="00C8568F"/>
    <w:rsid w:val="00C859FA"/>
    <w:rsid w:val="00C85DB0"/>
    <w:rsid w:val="00C86058"/>
    <w:rsid w:val="00C87072"/>
    <w:rsid w:val="00C87112"/>
    <w:rsid w:val="00C87ADD"/>
    <w:rsid w:val="00C87B2C"/>
    <w:rsid w:val="00C9010F"/>
    <w:rsid w:val="00C90A2B"/>
    <w:rsid w:val="00C90E77"/>
    <w:rsid w:val="00C9142C"/>
    <w:rsid w:val="00C91457"/>
    <w:rsid w:val="00C91558"/>
    <w:rsid w:val="00C91F6D"/>
    <w:rsid w:val="00C9264D"/>
    <w:rsid w:val="00C929BA"/>
    <w:rsid w:val="00C92F66"/>
    <w:rsid w:val="00C93311"/>
    <w:rsid w:val="00C93D79"/>
    <w:rsid w:val="00C943E1"/>
    <w:rsid w:val="00C94422"/>
    <w:rsid w:val="00C94470"/>
    <w:rsid w:val="00C95302"/>
    <w:rsid w:val="00C95D0B"/>
    <w:rsid w:val="00C96178"/>
    <w:rsid w:val="00C962D4"/>
    <w:rsid w:val="00C96ACF"/>
    <w:rsid w:val="00C96EAB"/>
    <w:rsid w:val="00C96FF6"/>
    <w:rsid w:val="00C97377"/>
    <w:rsid w:val="00C973DC"/>
    <w:rsid w:val="00C974A5"/>
    <w:rsid w:val="00C97D79"/>
    <w:rsid w:val="00C97E62"/>
    <w:rsid w:val="00CA009B"/>
    <w:rsid w:val="00CA010D"/>
    <w:rsid w:val="00CA08E8"/>
    <w:rsid w:val="00CA0983"/>
    <w:rsid w:val="00CA1486"/>
    <w:rsid w:val="00CA18B6"/>
    <w:rsid w:val="00CA1923"/>
    <w:rsid w:val="00CA1AC6"/>
    <w:rsid w:val="00CA1B17"/>
    <w:rsid w:val="00CA1F7E"/>
    <w:rsid w:val="00CA2063"/>
    <w:rsid w:val="00CA211F"/>
    <w:rsid w:val="00CA2405"/>
    <w:rsid w:val="00CA3053"/>
    <w:rsid w:val="00CA316F"/>
    <w:rsid w:val="00CA4A70"/>
    <w:rsid w:val="00CA4DC5"/>
    <w:rsid w:val="00CA4E71"/>
    <w:rsid w:val="00CA4F01"/>
    <w:rsid w:val="00CA4F37"/>
    <w:rsid w:val="00CA51E7"/>
    <w:rsid w:val="00CA542A"/>
    <w:rsid w:val="00CA55FD"/>
    <w:rsid w:val="00CA594E"/>
    <w:rsid w:val="00CA5E37"/>
    <w:rsid w:val="00CA5EB1"/>
    <w:rsid w:val="00CA6F3C"/>
    <w:rsid w:val="00CA7B07"/>
    <w:rsid w:val="00CA7C8C"/>
    <w:rsid w:val="00CB0D17"/>
    <w:rsid w:val="00CB1319"/>
    <w:rsid w:val="00CB24F0"/>
    <w:rsid w:val="00CB28CC"/>
    <w:rsid w:val="00CB2B48"/>
    <w:rsid w:val="00CB2C9C"/>
    <w:rsid w:val="00CB31BD"/>
    <w:rsid w:val="00CB31CA"/>
    <w:rsid w:val="00CB3255"/>
    <w:rsid w:val="00CB3485"/>
    <w:rsid w:val="00CB37DB"/>
    <w:rsid w:val="00CB3D31"/>
    <w:rsid w:val="00CB43DD"/>
    <w:rsid w:val="00CB493D"/>
    <w:rsid w:val="00CB4B39"/>
    <w:rsid w:val="00CB5601"/>
    <w:rsid w:val="00CB6244"/>
    <w:rsid w:val="00CB6366"/>
    <w:rsid w:val="00CB64EB"/>
    <w:rsid w:val="00CB65AD"/>
    <w:rsid w:val="00CB6646"/>
    <w:rsid w:val="00CB6764"/>
    <w:rsid w:val="00CB6BFB"/>
    <w:rsid w:val="00CB6E61"/>
    <w:rsid w:val="00CB7029"/>
    <w:rsid w:val="00CB753A"/>
    <w:rsid w:val="00CB7ACA"/>
    <w:rsid w:val="00CB7E4B"/>
    <w:rsid w:val="00CB7FAC"/>
    <w:rsid w:val="00CC04FE"/>
    <w:rsid w:val="00CC14F8"/>
    <w:rsid w:val="00CC1820"/>
    <w:rsid w:val="00CC1BDD"/>
    <w:rsid w:val="00CC1EEC"/>
    <w:rsid w:val="00CC1F29"/>
    <w:rsid w:val="00CC2303"/>
    <w:rsid w:val="00CC2393"/>
    <w:rsid w:val="00CC2D84"/>
    <w:rsid w:val="00CC2E87"/>
    <w:rsid w:val="00CC31C6"/>
    <w:rsid w:val="00CC328E"/>
    <w:rsid w:val="00CC3652"/>
    <w:rsid w:val="00CC381A"/>
    <w:rsid w:val="00CC3BE6"/>
    <w:rsid w:val="00CC3F57"/>
    <w:rsid w:val="00CC4160"/>
    <w:rsid w:val="00CC4237"/>
    <w:rsid w:val="00CC5343"/>
    <w:rsid w:val="00CC625B"/>
    <w:rsid w:val="00CC6A78"/>
    <w:rsid w:val="00CC6EE4"/>
    <w:rsid w:val="00CC7397"/>
    <w:rsid w:val="00CC74C6"/>
    <w:rsid w:val="00CC7BE4"/>
    <w:rsid w:val="00CC7CED"/>
    <w:rsid w:val="00CC7E2E"/>
    <w:rsid w:val="00CD078E"/>
    <w:rsid w:val="00CD12EA"/>
    <w:rsid w:val="00CD14CF"/>
    <w:rsid w:val="00CD1A23"/>
    <w:rsid w:val="00CD1C05"/>
    <w:rsid w:val="00CD1F21"/>
    <w:rsid w:val="00CD2885"/>
    <w:rsid w:val="00CD2D58"/>
    <w:rsid w:val="00CD2E98"/>
    <w:rsid w:val="00CD3147"/>
    <w:rsid w:val="00CD39D6"/>
    <w:rsid w:val="00CD3BCF"/>
    <w:rsid w:val="00CD41B6"/>
    <w:rsid w:val="00CD4A9F"/>
    <w:rsid w:val="00CD5133"/>
    <w:rsid w:val="00CD53E4"/>
    <w:rsid w:val="00CD59A2"/>
    <w:rsid w:val="00CD62E1"/>
    <w:rsid w:val="00CD65AC"/>
    <w:rsid w:val="00CD6B5E"/>
    <w:rsid w:val="00CD6D47"/>
    <w:rsid w:val="00CD715F"/>
    <w:rsid w:val="00CD748E"/>
    <w:rsid w:val="00CD7948"/>
    <w:rsid w:val="00CE01F7"/>
    <w:rsid w:val="00CE03C1"/>
    <w:rsid w:val="00CE0DA3"/>
    <w:rsid w:val="00CE0E63"/>
    <w:rsid w:val="00CE19B8"/>
    <w:rsid w:val="00CE1DEC"/>
    <w:rsid w:val="00CE1EE7"/>
    <w:rsid w:val="00CE1EF5"/>
    <w:rsid w:val="00CE24CC"/>
    <w:rsid w:val="00CE2CA4"/>
    <w:rsid w:val="00CE3510"/>
    <w:rsid w:val="00CE39CB"/>
    <w:rsid w:val="00CE39E7"/>
    <w:rsid w:val="00CE3B70"/>
    <w:rsid w:val="00CE3D31"/>
    <w:rsid w:val="00CE446A"/>
    <w:rsid w:val="00CE4492"/>
    <w:rsid w:val="00CE45E8"/>
    <w:rsid w:val="00CE4722"/>
    <w:rsid w:val="00CE47A9"/>
    <w:rsid w:val="00CE515F"/>
    <w:rsid w:val="00CE5270"/>
    <w:rsid w:val="00CE56FD"/>
    <w:rsid w:val="00CE5C0A"/>
    <w:rsid w:val="00CE65B6"/>
    <w:rsid w:val="00CE65D6"/>
    <w:rsid w:val="00CE66AC"/>
    <w:rsid w:val="00CE67E3"/>
    <w:rsid w:val="00CE699C"/>
    <w:rsid w:val="00CE6ACB"/>
    <w:rsid w:val="00CE6ECE"/>
    <w:rsid w:val="00CE746D"/>
    <w:rsid w:val="00CE77D6"/>
    <w:rsid w:val="00CE7C96"/>
    <w:rsid w:val="00CF0149"/>
    <w:rsid w:val="00CF0B42"/>
    <w:rsid w:val="00CF0DA1"/>
    <w:rsid w:val="00CF10D3"/>
    <w:rsid w:val="00CF1292"/>
    <w:rsid w:val="00CF1479"/>
    <w:rsid w:val="00CF2A11"/>
    <w:rsid w:val="00CF2E6C"/>
    <w:rsid w:val="00CF3365"/>
    <w:rsid w:val="00CF371F"/>
    <w:rsid w:val="00CF3F72"/>
    <w:rsid w:val="00CF4096"/>
    <w:rsid w:val="00CF41E4"/>
    <w:rsid w:val="00CF426E"/>
    <w:rsid w:val="00CF4612"/>
    <w:rsid w:val="00CF4AD8"/>
    <w:rsid w:val="00CF5613"/>
    <w:rsid w:val="00CF592E"/>
    <w:rsid w:val="00CF593C"/>
    <w:rsid w:val="00CF667E"/>
    <w:rsid w:val="00CF69FF"/>
    <w:rsid w:val="00CF6C8C"/>
    <w:rsid w:val="00CF6ED5"/>
    <w:rsid w:val="00CF73D8"/>
    <w:rsid w:val="00CF786F"/>
    <w:rsid w:val="00CF7C13"/>
    <w:rsid w:val="00D001C1"/>
    <w:rsid w:val="00D001E8"/>
    <w:rsid w:val="00D0097A"/>
    <w:rsid w:val="00D00A52"/>
    <w:rsid w:val="00D00A79"/>
    <w:rsid w:val="00D0111E"/>
    <w:rsid w:val="00D01477"/>
    <w:rsid w:val="00D01B9E"/>
    <w:rsid w:val="00D01CEE"/>
    <w:rsid w:val="00D01D9E"/>
    <w:rsid w:val="00D024DD"/>
    <w:rsid w:val="00D02C2D"/>
    <w:rsid w:val="00D02EEC"/>
    <w:rsid w:val="00D03088"/>
    <w:rsid w:val="00D0310B"/>
    <w:rsid w:val="00D0380A"/>
    <w:rsid w:val="00D03856"/>
    <w:rsid w:val="00D03C5F"/>
    <w:rsid w:val="00D03C63"/>
    <w:rsid w:val="00D04187"/>
    <w:rsid w:val="00D04A64"/>
    <w:rsid w:val="00D04B77"/>
    <w:rsid w:val="00D04EA9"/>
    <w:rsid w:val="00D05355"/>
    <w:rsid w:val="00D05B4F"/>
    <w:rsid w:val="00D05F48"/>
    <w:rsid w:val="00D05F95"/>
    <w:rsid w:val="00D061EF"/>
    <w:rsid w:val="00D0708C"/>
    <w:rsid w:val="00D075E1"/>
    <w:rsid w:val="00D076E7"/>
    <w:rsid w:val="00D07D56"/>
    <w:rsid w:val="00D07FED"/>
    <w:rsid w:val="00D101EC"/>
    <w:rsid w:val="00D1031D"/>
    <w:rsid w:val="00D104C6"/>
    <w:rsid w:val="00D10591"/>
    <w:rsid w:val="00D1089C"/>
    <w:rsid w:val="00D1150A"/>
    <w:rsid w:val="00D11A87"/>
    <w:rsid w:val="00D11AB0"/>
    <w:rsid w:val="00D11CE1"/>
    <w:rsid w:val="00D12274"/>
    <w:rsid w:val="00D1243A"/>
    <w:rsid w:val="00D1266F"/>
    <w:rsid w:val="00D12AAA"/>
    <w:rsid w:val="00D12EF6"/>
    <w:rsid w:val="00D13586"/>
    <w:rsid w:val="00D1381A"/>
    <w:rsid w:val="00D139A6"/>
    <w:rsid w:val="00D13ADE"/>
    <w:rsid w:val="00D13C76"/>
    <w:rsid w:val="00D13CB8"/>
    <w:rsid w:val="00D13F1E"/>
    <w:rsid w:val="00D14547"/>
    <w:rsid w:val="00D146BB"/>
    <w:rsid w:val="00D14A21"/>
    <w:rsid w:val="00D14AB3"/>
    <w:rsid w:val="00D14D0D"/>
    <w:rsid w:val="00D14D83"/>
    <w:rsid w:val="00D14DE3"/>
    <w:rsid w:val="00D15058"/>
    <w:rsid w:val="00D153A5"/>
    <w:rsid w:val="00D15862"/>
    <w:rsid w:val="00D15D3D"/>
    <w:rsid w:val="00D1646C"/>
    <w:rsid w:val="00D17FBD"/>
    <w:rsid w:val="00D2008A"/>
    <w:rsid w:val="00D20365"/>
    <w:rsid w:val="00D20495"/>
    <w:rsid w:val="00D207FA"/>
    <w:rsid w:val="00D209B9"/>
    <w:rsid w:val="00D212CB"/>
    <w:rsid w:val="00D2153B"/>
    <w:rsid w:val="00D21858"/>
    <w:rsid w:val="00D2188B"/>
    <w:rsid w:val="00D21D4F"/>
    <w:rsid w:val="00D22175"/>
    <w:rsid w:val="00D2264D"/>
    <w:rsid w:val="00D2284C"/>
    <w:rsid w:val="00D22AC7"/>
    <w:rsid w:val="00D22DED"/>
    <w:rsid w:val="00D23042"/>
    <w:rsid w:val="00D244F9"/>
    <w:rsid w:val="00D2467F"/>
    <w:rsid w:val="00D246CB"/>
    <w:rsid w:val="00D24C72"/>
    <w:rsid w:val="00D257E1"/>
    <w:rsid w:val="00D25AE9"/>
    <w:rsid w:val="00D260D8"/>
    <w:rsid w:val="00D26E85"/>
    <w:rsid w:val="00D27B82"/>
    <w:rsid w:val="00D27C80"/>
    <w:rsid w:val="00D30713"/>
    <w:rsid w:val="00D309F6"/>
    <w:rsid w:val="00D318A1"/>
    <w:rsid w:val="00D3192F"/>
    <w:rsid w:val="00D31CC3"/>
    <w:rsid w:val="00D31EED"/>
    <w:rsid w:val="00D320B5"/>
    <w:rsid w:val="00D320B8"/>
    <w:rsid w:val="00D32687"/>
    <w:rsid w:val="00D327B7"/>
    <w:rsid w:val="00D327FE"/>
    <w:rsid w:val="00D3290F"/>
    <w:rsid w:val="00D32D92"/>
    <w:rsid w:val="00D32F3D"/>
    <w:rsid w:val="00D33B49"/>
    <w:rsid w:val="00D33E0C"/>
    <w:rsid w:val="00D33F22"/>
    <w:rsid w:val="00D342C3"/>
    <w:rsid w:val="00D34A20"/>
    <w:rsid w:val="00D34BE8"/>
    <w:rsid w:val="00D34C40"/>
    <w:rsid w:val="00D3555D"/>
    <w:rsid w:val="00D35841"/>
    <w:rsid w:val="00D35A1B"/>
    <w:rsid w:val="00D35A97"/>
    <w:rsid w:val="00D361B8"/>
    <w:rsid w:val="00D362B8"/>
    <w:rsid w:val="00D364CA"/>
    <w:rsid w:val="00D36AE6"/>
    <w:rsid w:val="00D36B79"/>
    <w:rsid w:val="00D3702E"/>
    <w:rsid w:val="00D370E2"/>
    <w:rsid w:val="00D370FD"/>
    <w:rsid w:val="00D37B4C"/>
    <w:rsid w:val="00D40439"/>
    <w:rsid w:val="00D40C9F"/>
    <w:rsid w:val="00D40D09"/>
    <w:rsid w:val="00D4135F"/>
    <w:rsid w:val="00D417A3"/>
    <w:rsid w:val="00D41859"/>
    <w:rsid w:val="00D4190F"/>
    <w:rsid w:val="00D426AE"/>
    <w:rsid w:val="00D42C9D"/>
    <w:rsid w:val="00D42FCC"/>
    <w:rsid w:val="00D4333B"/>
    <w:rsid w:val="00D433DB"/>
    <w:rsid w:val="00D43D02"/>
    <w:rsid w:val="00D440BB"/>
    <w:rsid w:val="00D44627"/>
    <w:rsid w:val="00D449C7"/>
    <w:rsid w:val="00D450C9"/>
    <w:rsid w:val="00D45287"/>
    <w:rsid w:val="00D4563D"/>
    <w:rsid w:val="00D45C50"/>
    <w:rsid w:val="00D45EAC"/>
    <w:rsid w:val="00D46426"/>
    <w:rsid w:val="00D46E57"/>
    <w:rsid w:val="00D46F67"/>
    <w:rsid w:val="00D47ADB"/>
    <w:rsid w:val="00D47B7A"/>
    <w:rsid w:val="00D50A49"/>
    <w:rsid w:val="00D51765"/>
    <w:rsid w:val="00D5215A"/>
    <w:rsid w:val="00D53724"/>
    <w:rsid w:val="00D539A8"/>
    <w:rsid w:val="00D54BB4"/>
    <w:rsid w:val="00D54E92"/>
    <w:rsid w:val="00D54F53"/>
    <w:rsid w:val="00D5546E"/>
    <w:rsid w:val="00D554A8"/>
    <w:rsid w:val="00D55568"/>
    <w:rsid w:val="00D55939"/>
    <w:rsid w:val="00D55A0F"/>
    <w:rsid w:val="00D55E78"/>
    <w:rsid w:val="00D56169"/>
    <w:rsid w:val="00D56977"/>
    <w:rsid w:val="00D572C6"/>
    <w:rsid w:val="00D57783"/>
    <w:rsid w:val="00D57ABF"/>
    <w:rsid w:val="00D60A74"/>
    <w:rsid w:val="00D60AFA"/>
    <w:rsid w:val="00D61AD4"/>
    <w:rsid w:val="00D61BF1"/>
    <w:rsid w:val="00D62430"/>
    <w:rsid w:val="00D625D6"/>
    <w:rsid w:val="00D62768"/>
    <w:rsid w:val="00D62A86"/>
    <w:rsid w:val="00D62EBC"/>
    <w:rsid w:val="00D62F07"/>
    <w:rsid w:val="00D6305F"/>
    <w:rsid w:val="00D63552"/>
    <w:rsid w:val="00D635E7"/>
    <w:rsid w:val="00D63740"/>
    <w:rsid w:val="00D63C69"/>
    <w:rsid w:val="00D63F91"/>
    <w:rsid w:val="00D64119"/>
    <w:rsid w:val="00D642AD"/>
    <w:rsid w:val="00D64B6C"/>
    <w:rsid w:val="00D64E06"/>
    <w:rsid w:val="00D651BC"/>
    <w:rsid w:val="00D65E66"/>
    <w:rsid w:val="00D66574"/>
    <w:rsid w:val="00D665E5"/>
    <w:rsid w:val="00D66CF6"/>
    <w:rsid w:val="00D66E69"/>
    <w:rsid w:val="00D66EA3"/>
    <w:rsid w:val="00D66F16"/>
    <w:rsid w:val="00D67645"/>
    <w:rsid w:val="00D677CE"/>
    <w:rsid w:val="00D677D5"/>
    <w:rsid w:val="00D67A83"/>
    <w:rsid w:val="00D67A8E"/>
    <w:rsid w:val="00D700B7"/>
    <w:rsid w:val="00D70CCB"/>
    <w:rsid w:val="00D711E4"/>
    <w:rsid w:val="00D71643"/>
    <w:rsid w:val="00D71863"/>
    <w:rsid w:val="00D7198F"/>
    <w:rsid w:val="00D71CC2"/>
    <w:rsid w:val="00D71F8A"/>
    <w:rsid w:val="00D72686"/>
    <w:rsid w:val="00D72AA6"/>
    <w:rsid w:val="00D73AE3"/>
    <w:rsid w:val="00D73CC9"/>
    <w:rsid w:val="00D73F9A"/>
    <w:rsid w:val="00D74059"/>
    <w:rsid w:val="00D74534"/>
    <w:rsid w:val="00D746AA"/>
    <w:rsid w:val="00D746C9"/>
    <w:rsid w:val="00D74730"/>
    <w:rsid w:val="00D74D59"/>
    <w:rsid w:val="00D750F8"/>
    <w:rsid w:val="00D751FD"/>
    <w:rsid w:val="00D75534"/>
    <w:rsid w:val="00D7570A"/>
    <w:rsid w:val="00D75D5C"/>
    <w:rsid w:val="00D765DF"/>
    <w:rsid w:val="00D76691"/>
    <w:rsid w:val="00D76763"/>
    <w:rsid w:val="00D76BFC"/>
    <w:rsid w:val="00D77116"/>
    <w:rsid w:val="00D774A4"/>
    <w:rsid w:val="00D77502"/>
    <w:rsid w:val="00D77A6F"/>
    <w:rsid w:val="00D77CD8"/>
    <w:rsid w:val="00D802C6"/>
    <w:rsid w:val="00D805E5"/>
    <w:rsid w:val="00D8064F"/>
    <w:rsid w:val="00D80AC6"/>
    <w:rsid w:val="00D80FAB"/>
    <w:rsid w:val="00D81AA1"/>
    <w:rsid w:val="00D8238B"/>
    <w:rsid w:val="00D82563"/>
    <w:rsid w:val="00D828E1"/>
    <w:rsid w:val="00D8299A"/>
    <w:rsid w:val="00D82A0E"/>
    <w:rsid w:val="00D82BA9"/>
    <w:rsid w:val="00D8321A"/>
    <w:rsid w:val="00D8332D"/>
    <w:rsid w:val="00D8347E"/>
    <w:rsid w:val="00D840D4"/>
    <w:rsid w:val="00D84308"/>
    <w:rsid w:val="00D8465A"/>
    <w:rsid w:val="00D84C84"/>
    <w:rsid w:val="00D853A9"/>
    <w:rsid w:val="00D85661"/>
    <w:rsid w:val="00D8572E"/>
    <w:rsid w:val="00D8595E"/>
    <w:rsid w:val="00D85BDC"/>
    <w:rsid w:val="00D861C0"/>
    <w:rsid w:val="00D87A07"/>
    <w:rsid w:val="00D87D7D"/>
    <w:rsid w:val="00D90C41"/>
    <w:rsid w:val="00D90D24"/>
    <w:rsid w:val="00D91321"/>
    <w:rsid w:val="00D9133E"/>
    <w:rsid w:val="00D91CCC"/>
    <w:rsid w:val="00D91D34"/>
    <w:rsid w:val="00D9213A"/>
    <w:rsid w:val="00D923B2"/>
    <w:rsid w:val="00D92E51"/>
    <w:rsid w:val="00D935A2"/>
    <w:rsid w:val="00D93735"/>
    <w:rsid w:val="00D9385C"/>
    <w:rsid w:val="00D93FD1"/>
    <w:rsid w:val="00D940AA"/>
    <w:rsid w:val="00D9459A"/>
    <w:rsid w:val="00D94B36"/>
    <w:rsid w:val="00D952C8"/>
    <w:rsid w:val="00D95AC9"/>
    <w:rsid w:val="00D96422"/>
    <w:rsid w:val="00D96606"/>
    <w:rsid w:val="00D9685E"/>
    <w:rsid w:val="00D96BC1"/>
    <w:rsid w:val="00D96CC1"/>
    <w:rsid w:val="00D96EE0"/>
    <w:rsid w:val="00D96F01"/>
    <w:rsid w:val="00D971CA"/>
    <w:rsid w:val="00DA0441"/>
    <w:rsid w:val="00DA0500"/>
    <w:rsid w:val="00DA094A"/>
    <w:rsid w:val="00DA0EE2"/>
    <w:rsid w:val="00DA16FB"/>
    <w:rsid w:val="00DA2593"/>
    <w:rsid w:val="00DA2964"/>
    <w:rsid w:val="00DA3030"/>
    <w:rsid w:val="00DA3073"/>
    <w:rsid w:val="00DA3BA5"/>
    <w:rsid w:val="00DA3BCF"/>
    <w:rsid w:val="00DA44BE"/>
    <w:rsid w:val="00DA4806"/>
    <w:rsid w:val="00DA4C89"/>
    <w:rsid w:val="00DA4DFB"/>
    <w:rsid w:val="00DA5171"/>
    <w:rsid w:val="00DA5738"/>
    <w:rsid w:val="00DA5E2C"/>
    <w:rsid w:val="00DA5E75"/>
    <w:rsid w:val="00DA6131"/>
    <w:rsid w:val="00DA6134"/>
    <w:rsid w:val="00DA6222"/>
    <w:rsid w:val="00DA6C95"/>
    <w:rsid w:val="00DA6E8B"/>
    <w:rsid w:val="00DA78C4"/>
    <w:rsid w:val="00DA7E7B"/>
    <w:rsid w:val="00DB0300"/>
    <w:rsid w:val="00DB040B"/>
    <w:rsid w:val="00DB0716"/>
    <w:rsid w:val="00DB0CBA"/>
    <w:rsid w:val="00DB15CE"/>
    <w:rsid w:val="00DB1D73"/>
    <w:rsid w:val="00DB25EA"/>
    <w:rsid w:val="00DB29D8"/>
    <w:rsid w:val="00DB311A"/>
    <w:rsid w:val="00DB3453"/>
    <w:rsid w:val="00DB3FD0"/>
    <w:rsid w:val="00DB45AD"/>
    <w:rsid w:val="00DB4951"/>
    <w:rsid w:val="00DB4EBB"/>
    <w:rsid w:val="00DB53C9"/>
    <w:rsid w:val="00DB545A"/>
    <w:rsid w:val="00DB5CD8"/>
    <w:rsid w:val="00DB60B9"/>
    <w:rsid w:val="00DB60E1"/>
    <w:rsid w:val="00DB699B"/>
    <w:rsid w:val="00DB6A3A"/>
    <w:rsid w:val="00DB6D50"/>
    <w:rsid w:val="00DB6F5D"/>
    <w:rsid w:val="00DB72EB"/>
    <w:rsid w:val="00DB790B"/>
    <w:rsid w:val="00DB7EA2"/>
    <w:rsid w:val="00DC15C6"/>
    <w:rsid w:val="00DC1736"/>
    <w:rsid w:val="00DC1896"/>
    <w:rsid w:val="00DC19C0"/>
    <w:rsid w:val="00DC1A62"/>
    <w:rsid w:val="00DC2089"/>
    <w:rsid w:val="00DC252E"/>
    <w:rsid w:val="00DC27DE"/>
    <w:rsid w:val="00DC2881"/>
    <w:rsid w:val="00DC34AD"/>
    <w:rsid w:val="00DC3647"/>
    <w:rsid w:val="00DC3C46"/>
    <w:rsid w:val="00DC4202"/>
    <w:rsid w:val="00DC52E1"/>
    <w:rsid w:val="00DC543C"/>
    <w:rsid w:val="00DC556F"/>
    <w:rsid w:val="00DC5961"/>
    <w:rsid w:val="00DC5ABD"/>
    <w:rsid w:val="00DC5F71"/>
    <w:rsid w:val="00DC66DC"/>
    <w:rsid w:val="00DC6D74"/>
    <w:rsid w:val="00DC6F2E"/>
    <w:rsid w:val="00DC7346"/>
    <w:rsid w:val="00DC746B"/>
    <w:rsid w:val="00DC7655"/>
    <w:rsid w:val="00DC7AD6"/>
    <w:rsid w:val="00DD013B"/>
    <w:rsid w:val="00DD015A"/>
    <w:rsid w:val="00DD0AF3"/>
    <w:rsid w:val="00DD110C"/>
    <w:rsid w:val="00DD1472"/>
    <w:rsid w:val="00DD1688"/>
    <w:rsid w:val="00DD16B9"/>
    <w:rsid w:val="00DD19AE"/>
    <w:rsid w:val="00DD20F6"/>
    <w:rsid w:val="00DD24EF"/>
    <w:rsid w:val="00DD2FDB"/>
    <w:rsid w:val="00DD3804"/>
    <w:rsid w:val="00DD38A9"/>
    <w:rsid w:val="00DD3F75"/>
    <w:rsid w:val="00DD41C2"/>
    <w:rsid w:val="00DD450F"/>
    <w:rsid w:val="00DD4E5B"/>
    <w:rsid w:val="00DD5350"/>
    <w:rsid w:val="00DD5A73"/>
    <w:rsid w:val="00DD5FFE"/>
    <w:rsid w:val="00DD6127"/>
    <w:rsid w:val="00DD62D2"/>
    <w:rsid w:val="00DD6467"/>
    <w:rsid w:val="00DD64C6"/>
    <w:rsid w:val="00DD6845"/>
    <w:rsid w:val="00DD7143"/>
    <w:rsid w:val="00DD7630"/>
    <w:rsid w:val="00DD7D82"/>
    <w:rsid w:val="00DE0226"/>
    <w:rsid w:val="00DE0254"/>
    <w:rsid w:val="00DE02B7"/>
    <w:rsid w:val="00DE0443"/>
    <w:rsid w:val="00DE045C"/>
    <w:rsid w:val="00DE067D"/>
    <w:rsid w:val="00DE08B9"/>
    <w:rsid w:val="00DE0A25"/>
    <w:rsid w:val="00DE0C48"/>
    <w:rsid w:val="00DE0F5C"/>
    <w:rsid w:val="00DE295A"/>
    <w:rsid w:val="00DE2ED9"/>
    <w:rsid w:val="00DE3049"/>
    <w:rsid w:val="00DE3120"/>
    <w:rsid w:val="00DE3546"/>
    <w:rsid w:val="00DE4723"/>
    <w:rsid w:val="00DE4D3B"/>
    <w:rsid w:val="00DE4FB3"/>
    <w:rsid w:val="00DE569D"/>
    <w:rsid w:val="00DE5922"/>
    <w:rsid w:val="00DE5C38"/>
    <w:rsid w:val="00DE618E"/>
    <w:rsid w:val="00DE64BC"/>
    <w:rsid w:val="00DE728D"/>
    <w:rsid w:val="00DE7984"/>
    <w:rsid w:val="00DF080F"/>
    <w:rsid w:val="00DF08FF"/>
    <w:rsid w:val="00DF0965"/>
    <w:rsid w:val="00DF250A"/>
    <w:rsid w:val="00DF2D7D"/>
    <w:rsid w:val="00DF31EB"/>
    <w:rsid w:val="00DF3227"/>
    <w:rsid w:val="00DF36E3"/>
    <w:rsid w:val="00DF3FBF"/>
    <w:rsid w:val="00DF4EBB"/>
    <w:rsid w:val="00DF4F69"/>
    <w:rsid w:val="00DF55AF"/>
    <w:rsid w:val="00DF5EBB"/>
    <w:rsid w:val="00DF5FDA"/>
    <w:rsid w:val="00DF633D"/>
    <w:rsid w:val="00DF655A"/>
    <w:rsid w:val="00DF77FD"/>
    <w:rsid w:val="00DF7C3B"/>
    <w:rsid w:val="00DF7FD8"/>
    <w:rsid w:val="00E000A0"/>
    <w:rsid w:val="00E00E7B"/>
    <w:rsid w:val="00E0162B"/>
    <w:rsid w:val="00E018BD"/>
    <w:rsid w:val="00E0204E"/>
    <w:rsid w:val="00E02E27"/>
    <w:rsid w:val="00E035EC"/>
    <w:rsid w:val="00E03948"/>
    <w:rsid w:val="00E03957"/>
    <w:rsid w:val="00E03CCE"/>
    <w:rsid w:val="00E03FCE"/>
    <w:rsid w:val="00E04800"/>
    <w:rsid w:val="00E04CD3"/>
    <w:rsid w:val="00E04FF3"/>
    <w:rsid w:val="00E05AE4"/>
    <w:rsid w:val="00E05D98"/>
    <w:rsid w:val="00E05E0F"/>
    <w:rsid w:val="00E06950"/>
    <w:rsid w:val="00E06C51"/>
    <w:rsid w:val="00E07023"/>
    <w:rsid w:val="00E0746E"/>
    <w:rsid w:val="00E0788B"/>
    <w:rsid w:val="00E07A17"/>
    <w:rsid w:val="00E07D66"/>
    <w:rsid w:val="00E07D6B"/>
    <w:rsid w:val="00E1021E"/>
    <w:rsid w:val="00E10331"/>
    <w:rsid w:val="00E10C54"/>
    <w:rsid w:val="00E11A3B"/>
    <w:rsid w:val="00E11DA4"/>
    <w:rsid w:val="00E1202C"/>
    <w:rsid w:val="00E12519"/>
    <w:rsid w:val="00E13021"/>
    <w:rsid w:val="00E13318"/>
    <w:rsid w:val="00E135DB"/>
    <w:rsid w:val="00E13616"/>
    <w:rsid w:val="00E13778"/>
    <w:rsid w:val="00E1384D"/>
    <w:rsid w:val="00E13A44"/>
    <w:rsid w:val="00E13DF2"/>
    <w:rsid w:val="00E14182"/>
    <w:rsid w:val="00E14A82"/>
    <w:rsid w:val="00E151A3"/>
    <w:rsid w:val="00E156A1"/>
    <w:rsid w:val="00E1594D"/>
    <w:rsid w:val="00E16443"/>
    <w:rsid w:val="00E1651B"/>
    <w:rsid w:val="00E1687F"/>
    <w:rsid w:val="00E178E8"/>
    <w:rsid w:val="00E17A3E"/>
    <w:rsid w:val="00E200C3"/>
    <w:rsid w:val="00E201AD"/>
    <w:rsid w:val="00E208C0"/>
    <w:rsid w:val="00E20D7B"/>
    <w:rsid w:val="00E20F15"/>
    <w:rsid w:val="00E21117"/>
    <w:rsid w:val="00E21B14"/>
    <w:rsid w:val="00E21EC7"/>
    <w:rsid w:val="00E223FC"/>
    <w:rsid w:val="00E22A85"/>
    <w:rsid w:val="00E2300D"/>
    <w:rsid w:val="00E237AD"/>
    <w:rsid w:val="00E2397D"/>
    <w:rsid w:val="00E24DA3"/>
    <w:rsid w:val="00E2574D"/>
    <w:rsid w:val="00E25BE4"/>
    <w:rsid w:val="00E268A0"/>
    <w:rsid w:val="00E269CC"/>
    <w:rsid w:val="00E26B46"/>
    <w:rsid w:val="00E274CF"/>
    <w:rsid w:val="00E27A27"/>
    <w:rsid w:val="00E303CB"/>
    <w:rsid w:val="00E30691"/>
    <w:rsid w:val="00E308B3"/>
    <w:rsid w:val="00E30C5C"/>
    <w:rsid w:val="00E313B5"/>
    <w:rsid w:val="00E31576"/>
    <w:rsid w:val="00E315BE"/>
    <w:rsid w:val="00E31951"/>
    <w:rsid w:val="00E3241D"/>
    <w:rsid w:val="00E32944"/>
    <w:rsid w:val="00E33613"/>
    <w:rsid w:val="00E33690"/>
    <w:rsid w:val="00E350B5"/>
    <w:rsid w:val="00E35842"/>
    <w:rsid w:val="00E35913"/>
    <w:rsid w:val="00E35D1B"/>
    <w:rsid w:val="00E3666B"/>
    <w:rsid w:val="00E3668F"/>
    <w:rsid w:val="00E36DD3"/>
    <w:rsid w:val="00E37511"/>
    <w:rsid w:val="00E37854"/>
    <w:rsid w:val="00E402E4"/>
    <w:rsid w:val="00E4045B"/>
    <w:rsid w:val="00E40CB0"/>
    <w:rsid w:val="00E40F6A"/>
    <w:rsid w:val="00E41A5F"/>
    <w:rsid w:val="00E41D82"/>
    <w:rsid w:val="00E42710"/>
    <w:rsid w:val="00E42A52"/>
    <w:rsid w:val="00E42A7F"/>
    <w:rsid w:val="00E4319C"/>
    <w:rsid w:val="00E43447"/>
    <w:rsid w:val="00E439B4"/>
    <w:rsid w:val="00E44216"/>
    <w:rsid w:val="00E4492A"/>
    <w:rsid w:val="00E44B45"/>
    <w:rsid w:val="00E44C06"/>
    <w:rsid w:val="00E44E16"/>
    <w:rsid w:val="00E451EC"/>
    <w:rsid w:val="00E45231"/>
    <w:rsid w:val="00E458A3"/>
    <w:rsid w:val="00E45CD2"/>
    <w:rsid w:val="00E45CE0"/>
    <w:rsid w:val="00E45F66"/>
    <w:rsid w:val="00E468B0"/>
    <w:rsid w:val="00E46A47"/>
    <w:rsid w:val="00E46B5C"/>
    <w:rsid w:val="00E46FB1"/>
    <w:rsid w:val="00E47025"/>
    <w:rsid w:val="00E470A1"/>
    <w:rsid w:val="00E47104"/>
    <w:rsid w:val="00E471D8"/>
    <w:rsid w:val="00E4720C"/>
    <w:rsid w:val="00E47948"/>
    <w:rsid w:val="00E47B6D"/>
    <w:rsid w:val="00E47FAC"/>
    <w:rsid w:val="00E50369"/>
    <w:rsid w:val="00E50990"/>
    <w:rsid w:val="00E50AD6"/>
    <w:rsid w:val="00E50B28"/>
    <w:rsid w:val="00E50D31"/>
    <w:rsid w:val="00E50F47"/>
    <w:rsid w:val="00E50F92"/>
    <w:rsid w:val="00E511F6"/>
    <w:rsid w:val="00E5199D"/>
    <w:rsid w:val="00E51E8C"/>
    <w:rsid w:val="00E524F5"/>
    <w:rsid w:val="00E52623"/>
    <w:rsid w:val="00E532F0"/>
    <w:rsid w:val="00E5338C"/>
    <w:rsid w:val="00E535EF"/>
    <w:rsid w:val="00E536A1"/>
    <w:rsid w:val="00E53788"/>
    <w:rsid w:val="00E53C12"/>
    <w:rsid w:val="00E54576"/>
    <w:rsid w:val="00E5472A"/>
    <w:rsid w:val="00E54931"/>
    <w:rsid w:val="00E54CB6"/>
    <w:rsid w:val="00E55440"/>
    <w:rsid w:val="00E56166"/>
    <w:rsid w:val="00E561FA"/>
    <w:rsid w:val="00E56525"/>
    <w:rsid w:val="00E56754"/>
    <w:rsid w:val="00E56A0C"/>
    <w:rsid w:val="00E56CAE"/>
    <w:rsid w:val="00E5702C"/>
    <w:rsid w:val="00E571EF"/>
    <w:rsid w:val="00E57B65"/>
    <w:rsid w:val="00E6006A"/>
    <w:rsid w:val="00E601FF"/>
    <w:rsid w:val="00E605DE"/>
    <w:rsid w:val="00E60D6C"/>
    <w:rsid w:val="00E60E3D"/>
    <w:rsid w:val="00E60F02"/>
    <w:rsid w:val="00E60F12"/>
    <w:rsid w:val="00E6126B"/>
    <w:rsid w:val="00E61291"/>
    <w:rsid w:val="00E616A5"/>
    <w:rsid w:val="00E618F5"/>
    <w:rsid w:val="00E626EC"/>
    <w:rsid w:val="00E6291B"/>
    <w:rsid w:val="00E634CC"/>
    <w:rsid w:val="00E64772"/>
    <w:rsid w:val="00E64A19"/>
    <w:rsid w:val="00E652B6"/>
    <w:rsid w:val="00E65594"/>
    <w:rsid w:val="00E65BEF"/>
    <w:rsid w:val="00E65EC5"/>
    <w:rsid w:val="00E65ED8"/>
    <w:rsid w:val="00E662DE"/>
    <w:rsid w:val="00E66490"/>
    <w:rsid w:val="00E66731"/>
    <w:rsid w:val="00E6677B"/>
    <w:rsid w:val="00E6691F"/>
    <w:rsid w:val="00E6720B"/>
    <w:rsid w:val="00E672F4"/>
    <w:rsid w:val="00E676C3"/>
    <w:rsid w:val="00E67B7C"/>
    <w:rsid w:val="00E67BE2"/>
    <w:rsid w:val="00E67C56"/>
    <w:rsid w:val="00E67CA2"/>
    <w:rsid w:val="00E70961"/>
    <w:rsid w:val="00E70E15"/>
    <w:rsid w:val="00E70F45"/>
    <w:rsid w:val="00E71489"/>
    <w:rsid w:val="00E7155A"/>
    <w:rsid w:val="00E71D68"/>
    <w:rsid w:val="00E72021"/>
    <w:rsid w:val="00E72391"/>
    <w:rsid w:val="00E723F3"/>
    <w:rsid w:val="00E728FB"/>
    <w:rsid w:val="00E7326C"/>
    <w:rsid w:val="00E73DFB"/>
    <w:rsid w:val="00E73E6A"/>
    <w:rsid w:val="00E7407F"/>
    <w:rsid w:val="00E742DD"/>
    <w:rsid w:val="00E74BEF"/>
    <w:rsid w:val="00E75370"/>
    <w:rsid w:val="00E759FB"/>
    <w:rsid w:val="00E76E36"/>
    <w:rsid w:val="00E8041F"/>
    <w:rsid w:val="00E807B6"/>
    <w:rsid w:val="00E8095E"/>
    <w:rsid w:val="00E81396"/>
    <w:rsid w:val="00E81848"/>
    <w:rsid w:val="00E81EE3"/>
    <w:rsid w:val="00E82629"/>
    <w:rsid w:val="00E826B2"/>
    <w:rsid w:val="00E82BD7"/>
    <w:rsid w:val="00E834B4"/>
    <w:rsid w:val="00E83C73"/>
    <w:rsid w:val="00E84018"/>
    <w:rsid w:val="00E84813"/>
    <w:rsid w:val="00E84E9E"/>
    <w:rsid w:val="00E853AA"/>
    <w:rsid w:val="00E86501"/>
    <w:rsid w:val="00E8692C"/>
    <w:rsid w:val="00E86C20"/>
    <w:rsid w:val="00E86D69"/>
    <w:rsid w:val="00E87764"/>
    <w:rsid w:val="00E87A6A"/>
    <w:rsid w:val="00E87BE7"/>
    <w:rsid w:val="00E906D8"/>
    <w:rsid w:val="00E90900"/>
    <w:rsid w:val="00E9090E"/>
    <w:rsid w:val="00E90CEE"/>
    <w:rsid w:val="00E90D5C"/>
    <w:rsid w:val="00E91176"/>
    <w:rsid w:val="00E91507"/>
    <w:rsid w:val="00E918ED"/>
    <w:rsid w:val="00E91E02"/>
    <w:rsid w:val="00E91F54"/>
    <w:rsid w:val="00E92A9A"/>
    <w:rsid w:val="00E93219"/>
    <w:rsid w:val="00E93709"/>
    <w:rsid w:val="00E94CAC"/>
    <w:rsid w:val="00E94FEC"/>
    <w:rsid w:val="00E95044"/>
    <w:rsid w:val="00E95483"/>
    <w:rsid w:val="00E957C5"/>
    <w:rsid w:val="00E958E5"/>
    <w:rsid w:val="00E95AB1"/>
    <w:rsid w:val="00E96114"/>
    <w:rsid w:val="00E966E6"/>
    <w:rsid w:val="00E9679E"/>
    <w:rsid w:val="00E96D2C"/>
    <w:rsid w:val="00E96EEC"/>
    <w:rsid w:val="00E96F16"/>
    <w:rsid w:val="00E97BFF"/>
    <w:rsid w:val="00E97D25"/>
    <w:rsid w:val="00E97DED"/>
    <w:rsid w:val="00EA0196"/>
    <w:rsid w:val="00EA04CC"/>
    <w:rsid w:val="00EA0607"/>
    <w:rsid w:val="00EA06F8"/>
    <w:rsid w:val="00EA0BBB"/>
    <w:rsid w:val="00EA11D8"/>
    <w:rsid w:val="00EA123D"/>
    <w:rsid w:val="00EA2322"/>
    <w:rsid w:val="00EA2B5C"/>
    <w:rsid w:val="00EA2C39"/>
    <w:rsid w:val="00EA322F"/>
    <w:rsid w:val="00EA32E4"/>
    <w:rsid w:val="00EA371F"/>
    <w:rsid w:val="00EA38E4"/>
    <w:rsid w:val="00EA40D8"/>
    <w:rsid w:val="00EA420D"/>
    <w:rsid w:val="00EA4368"/>
    <w:rsid w:val="00EA4488"/>
    <w:rsid w:val="00EA4AE5"/>
    <w:rsid w:val="00EA4C6E"/>
    <w:rsid w:val="00EA5170"/>
    <w:rsid w:val="00EA5439"/>
    <w:rsid w:val="00EA585E"/>
    <w:rsid w:val="00EA686B"/>
    <w:rsid w:val="00EA6935"/>
    <w:rsid w:val="00EA6C4E"/>
    <w:rsid w:val="00EA6F64"/>
    <w:rsid w:val="00EA733B"/>
    <w:rsid w:val="00EA734F"/>
    <w:rsid w:val="00EA7C9C"/>
    <w:rsid w:val="00EA7FDC"/>
    <w:rsid w:val="00EB0B36"/>
    <w:rsid w:val="00EB0BD7"/>
    <w:rsid w:val="00EB0D40"/>
    <w:rsid w:val="00EB233D"/>
    <w:rsid w:val="00EB24E7"/>
    <w:rsid w:val="00EB25D9"/>
    <w:rsid w:val="00EB2964"/>
    <w:rsid w:val="00EB30A9"/>
    <w:rsid w:val="00EB3728"/>
    <w:rsid w:val="00EB38B3"/>
    <w:rsid w:val="00EB4A75"/>
    <w:rsid w:val="00EB506B"/>
    <w:rsid w:val="00EB50D0"/>
    <w:rsid w:val="00EB577A"/>
    <w:rsid w:val="00EB5805"/>
    <w:rsid w:val="00EB5B02"/>
    <w:rsid w:val="00EB5F0F"/>
    <w:rsid w:val="00EB6204"/>
    <w:rsid w:val="00EB62C6"/>
    <w:rsid w:val="00EB668C"/>
    <w:rsid w:val="00EB693A"/>
    <w:rsid w:val="00EB69CE"/>
    <w:rsid w:val="00EB6FB8"/>
    <w:rsid w:val="00EC0016"/>
    <w:rsid w:val="00EC05F8"/>
    <w:rsid w:val="00EC0AD9"/>
    <w:rsid w:val="00EC0B1E"/>
    <w:rsid w:val="00EC0C90"/>
    <w:rsid w:val="00EC1248"/>
    <w:rsid w:val="00EC179D"/>
    <w:rsid w:val="00EC1BAA"/>
    <w:rsid w:val="00EC2467"/>
    <w:rsid w:val="00EC27B7"/>
    <w:rsid w:val="00EC32C4"/>
    <w:rsid w:val="00EC32F6"/>
    <w:rsid w:val="00EC3E0D"/>
    <w:rsid w:val="00EC3FAA"/>
    <w:rsid w:val="00EC473F"/>
    <w:rsid w:val="00EC5B44"/>
    <w:rsid w:val="00EC6103"/>
    <w:rsid w:val="00EC61B9"/>
    <w:rsid w:val="00EC66A3"/>
    <w:rsid w:val="00EC677B"/>
    <w:rsid w:val="00EC6F9E"/>
    <w:rsid w:val="00EC7B3C"/>
    <w:rsid w:val="00EC7FBD"/>
    <w:rsid w:val="00ED0A1C"/>
    <w:rsid w:val="00ED0FC9"/>
    <w:rsid w:val="00ED11B7"/>
    <w:rsid w:val="00ED175B"/>
    <w:rsid w:val="00ED19FF"/>
    <w:rsid w:val="00ED24AA"/>
    <w:rsid w:val="00ED28FB"/>
    <w:rsid w:val="00ED307C"/>
    <w:rsid w:val="00ED33A4"/>
    <w:rsid w:val="00ED364B"/>
    <w:rsid w:val="00ED3BBE"/>
    <w:rsid w:val="00ED5289"/>
    <w:rsid w:val="00ED52DD"/>
    <w:rsid w:val="00ED568A"/>
    <w:rsid w:val="00ED665A"/>
    <w:rsid w:val="00ED6760"/>
    <w:rsid w:val="00EE0159"/>
    <w:rsid w:val="00EE06C4"/>
    <w:rsid w:val="00EE07BD"/>
    <w:rsid w:val="00EE0958"/>
    <w:rsid w:val="00EE0B20"/>
    <w:rsid w:val="00EE2391"/>
    <w:rsid w:val="00EE2426"/>
    <w:rsid w:val="00EE2716"/>
    <w:rsid w:val="00EE2DE4"/>
    <w:rsid w:val="00EE2FD7"/>
    <w:rsid w:val="00EE312B"/>
    <w:rsid w:val="00EE3183"/>
    <w:rsid w:val="00EE370F"/>
    <w:rsid w:val="00EE37FC"/>
    <w:rsid w:val="00EE4C55"/>
    <w:rsid w:val="00EE4E75"/>
    <w:rsid w:val="00EE546D"/>
    <w:rsid w:val="00EE5D98"/>
    <w:rsid w:val="00EE5FE6"/>
    <w:rsid w:val="00EE6B58"/>
    <w:rsid w:val="00EE6F4C"/>
    <w:rsid w:val="00EE704F"/>
    <w:rsid w:val="00EE70AE"/>
    <w:rsid w:val="00EE79A8"/>
    <w:rsid w:val="00EE7B05"/>
    <w:rsid w:val="00EE7D2F"/>
    <w:rsid w:val="00EE7FE3"/>
    <w:rsid w:val="00EF0BDA"/>
    <w:rsid w:val="00EF1100"/>
    <w:rsid w:val="00EF1391"/>
    <w:rsid w:val="00EF1414"/>
    <w:rsid w:val="00EF15DF"/>
    <w:rsid w:val="00EF1B28"/>
    <w:rsid w:val="00EF1B3B"/>
    <w:rsid w:val="00EF1B50"/>
    <w:rsid w:val="00EF1F9B"/>
    <w:rsid w:val="00EF285B"/>
    <w:rsid w:val="00EF2FCE"/>
    <w:rsid w:val="00EF32A3"/>
    <w:rsid w:val="00EF33D4"/>
    <w:rsid w:val="00EF3772"/>
    <w:rsid w:val="00EF4FF1"/>
    <w:rsid w:val="00EF5032"/>
    <w:rsid w:val="00EF5177"/>
    <w:rsid w:val="00EF5893"/>
    <w:rsid w:val="00EF5C03"/>
    <w:rsid w:val="00EF66A4"/>
    <w:rsid w:val="00EF6ACA"/>
    <w:rsid w:val="00EF728D"/>
    <w:rsid w:val="00EF7786"/>
    <w:rsid w:val="00EF786A"/>
    <w:rsid w:val="00EF7928"/>
    <w:rsid w:val="00EF7B6A"/>
    <w:rsid w:val="00F001ED"/>
    <w:rsid w:val="00F0025D"/>
    <w:rsid w:val="00F005BA"/>
    <w:rsid w:val="00F006D3"/>
    <w:rsid w:val="00F00868"/>
    <w:rsid w:val="00F00A67"/>
    <w:rsid w:val="00F00ECD"/>
    <w:rsid w:val="00F01251"/>
    <w:rsid w:val="00F017D7"/>
    <w:rsid w:val="00F018E1"/>
    <w:rsid w:val="00F01EFB"/>
    <w:rsid w:val="00F0244D"/>
    <w:rsid w:val="00F02704"/>
    <w:rsid w:val="00F02B86"/>
    <w:rsid w:val="00F0300D"/>
    <w:rsid w:val="00F032A0"/>
    <w:rsid w:val="00F03464"/>
    <w:rsid w:val="00F034D7"/>
    <w:rsid w:val="00F0359A"/>
    <w:rsid w:val="00F036ED"/>
    <w:rsid w:val="00F03C2F"/>
    <w:rsid w:val="00F03D66"/>
    <w:rsid w:val="00F0438D"/>
    <w:rsid w:val="00F043B3"/>
    <w:rsid w:val="00F04B38"/>
    <w:rsid w:val="00F04CFF"/>
    <w:rsid w:val="00F056EC"/>
    <w:rsid w:val="00F0648E"/>
    <w:rsid w:val="00F069CA"/>
    <w:rsid w:val="00F07376"/>
    <w:rsid w:val="00F10A4F"/>
    <w:rsid w:val="00F10EAD"/>
    <w:rsid w:val="00F120F2"/>
    <w:rsid w:val="00F123DD"/>
    <w:rsid w:val="00F12494"/>
    <w:rsid w:val="00F124DD"/>
    <w:rsid w:val="00F12806"/>
    <w:rsid w:val="00F12FAB"/>
    <w:rsid w:val="00F13B25"/>
    <w:rsid w:val="00F13E78"/>
    <w:rsid w:val="00F146C6"/>
    <w:rsid w:val="00F14948"/>
    <w:rsid w:val="00F14A1C"/>
    <w:rsid w:val="00F14E7F"/>
    <w:rsid w:val="00F14E9C"/>
    <w:rsid w:val="00F15FFE"/>
    <w:rsid w:val="00F200AE"/>
    <w:rsid w:val="00F20524"/>
    <w:rsid w:val="00F20791"/>
    <w:rsid w:val="00F20A0E"/>
    <w:rsid w:val="00F20BC8"/>
    <w:rsid w:val="00F215E8"/>
    <w:rsid w:val="00F21891"/>
    <w:rsid w:val="00F21954"/>
    <w:rsid w:val="00F226BD"/>
    <w:rsid w:val="00F22752"/>
    <w:rsid w:val="00F2283F"/>
    <w:rsid w:val="00F22A54"/>
    <w:rsid w:val="00F22FD0"/>
    <w:rsid w:val="00F235AF"/>
    <w:rsid w:val="00F235E0"/>
    <w:rsid w:val="00F23FE8"/>
    <w:rsid w:val="00F24274"/>
    <w:rsid w:val="00F24535"/>
    <w:rsid w:val="00F24843"/>
    <w:rsid w:val="00F248ED"/>
    <w:rsid w:val="00F253DE"/>
    <w:rsid w:val="00F256DC"/>
    <w:rsid w:val="00F25D63"/>
    <w:rsid w:val="00F26680"/>
    <w:rsid w:val="00F2674B"/>
    <w:rsid w:val="00F26882"/>
    <w:rsid w:val="00F268B8"/>
    <w:rsid w:val="00F26C73"/>
    <w:rsid w:val="00F26DB9"/>
    <w:rsid w:val="00F26FB0"/>
    <w:rsid w:val="00F2725A"/>
    <w:rsid w:val="00F2740F"/>
    <w:rsid w:val="00F27AA9"/>
    <w:rsid w:val="00F30060"/>
    <w:rsid w:val="00F3040A"/>
    <w:rsid w:val="00F30A7E"/>
    <w:rsid w:val="00F30C31"/>
    <w:rsid w:val="00F30F33"/>
    <w:rsid w:val="00F31133"/>
    <w:rsid w:val="00F31262"/>
    <w:rsid w:val="00F315B2"/>
    <w:rsid w:val="00F31790"/>
    <w:rsid w:val="00F3259E"/>
    <w:rsid w:val="00F32A9C"/>
    <w:rsid w:val="00F32E71"/>
    <w:rsid w:val="00F32E89"/>
    <w:rsid w:val="00F330A3"/>
    <w:rsid w:val="00F332DC"/>
    <w:rsid w:val="00F34177"/>
    <w:rsid w:val="00F344FD"/>
    <w:rsid w:val="00F35256"/>
    <w:rsid w:val="00F354C1"/>
    <w:rsid w:val="00F3554D"/>
    <w:rsid w:val="00F35823"/>
    <w:rsid w:val="00F365F5"/>
    <w:rsid w:val="00F36CE7"/>
    <w:rsid w:val="00F36FDB"/>
    <w:rsid w:val="00F37020"/>
    <w:rsid w:val="00F37057"/>
    <w:rsid w:val="00F37123"/>
    <w:rsid w:val="00F371BD"/>
    <w:rsid w:val="00F3764E"/>
    <w:rsid w:val="00F37B12"/>
    <w:rsid w:val="00F37B4B"/>
    <w:rsid w:val="00F37C75"/>
    <w:rsid w:val="00F37D8B"/>
    <w:rsid w:val="00F37E1C"/>
    <w:rsid w:val="00F37F21"/>
    <w:rsid w:val="00F40484"/>
    <w:rsid w:val="00F40543"/>
    <w:rsid w:val="00F40F70"/>
    <w:rsid w:val="00F4116B"/>
    <w:rsid w:val="00F41689"/>
    <w:rsid w:val="00F416E3"/>
    <w:rsid w:val="00F41957"/>
    <w:rsid w:val="00F41DA9"/>
    <w:rsid w:val="00F4202A"/>
    <w:rsid w:val="00F432C8"/>
    <w:rsid w:val="00F4356B"/>
    <w:rsid w:val="00F43C59"/>
    <w:rsid w:val="00F458B7"/>
    <w:rsid w:val="00F4651F"/>
    <w:rsid w:val="00F47623"/>
    <w:rsid w:val="00F4795C"/>
    <w:rsid w:val="00F47AD5"/>
    <w:rsid w:val="00F50280"/>
    <w:rsid w:val="00F5069D"/>
    <w:rsid w:val="00F50733"/>
    <w:rsid w:val="00F513FF"/>
    <w:rsid w:val="00F51696"/>
    <w:rsid w:val="00F51CD1"/>
    <w:rsid w:val="00F5256B"/>
    <w:rsid w:val="00F527A1"/>
    <w:rsid w:val="00F52805"/>
    <w:rsid w:val="00F5287E"/>
    <w:rsid w:val="00F52B5A"/>
    <w:rsid w:val="00F52D43"/>
    <w:rsid w:val="00F52F5B"/>
    <w:rsid w:val="00F5379D"/>
    <w:rsid w:val="00F53909"/>
    <w:rsid w:val="00F53CB7"/>
    <w:rsid w:val="00F53E3C"/>
    <w:rsid w:val="00F54139"/>
    <w:rsid w:val="00F543FE"/>
    <w:rsid w:val="00F54768"/>
    <w:rsid w:val="00F54C96"/>
    <w:rsid w:val="00F54E82"/>
    <w:rsid w:val="00F550EC"/>
    <w:rsid w:val="00F559DF"/>
    <w:rsid w:val="00F5628E"/>
    <w:rsid w:val="00F57214"/>
    <w:rsid w:val="00F57B35"/>
    <w:rsid w:val="00F57B3F"/>
    <w:rsid w:val="00F57D5D"/>
    <w:rsid w:val="00F57F50"/>
    <w:rsid w:val="00F60206"/>
    <w:rsid w:val="00F6045B"/>
    <w:rsid w:val="00F60743"/>
    <w:rsid w:val="00F608EF"/>
    <w:rsid w:val="00F60922"/>
    <w:rsid w:val="00F60942"/>
    <w:rsid w:val="00F60B6F"/>
    <w:rsid w:val="00F60D18"/>
    <w:rsid w:val="00F61180"/>
    <w:rsid w:val="00F61D50"/>
    <w:rsid w:val="00F61F2E"/>
    <w:rsid w:val="00F6208F"/>
    <w:rsid w:val="00F6209E"/>
    <w:rsid w:val="00F624F6"/>
    <w:rsid w:val="00F62E4E"/>
    <w:rsid w:val="00F62EEF"/>
    <w:rsid w:val="00F62F80"/>
    <w:rsid w:val="00F634B4"/>
    <w:rsid w:val="00F6361A"/>
    <w:rsid w:val="00F636A0"/>
    <w:rsid w:val="00F63701"/>
    <w:rsid w:val="00F638B6"/>
    <w:rsid w:val="00F64180"/>
    <w:rsid w:val="00F64836"/>
    <w:rsid w:val="00F64AA9"/>
    <w:rsid w:val="00F6609F"/>
    <w:rsid w:val="00F66775"/>
    <w:rsid w:val="00F66E3B"/>
    <w:rsid w:val="00F67EA5"/>
    <w:rsid w:val="00F70786"/>
    <w:rsid w:val="00F7088B"/>
    <w:rsid w:val="00F7088D"/>
    <w:rsid w:val="00F711DB"/>
    <w:rsid w:val="00F7166F"/>
    <w:rsid w:val="00F71C34"/>
    <w:rsid w:val="00F71DBD"/>
    <w:rsid w:val="00F71F0C"/>
    <w:rsid w:val="00F72920"/>
    <w:rsid w:val="00F72CD8"/>
    <w:rsid w:val="00F72CDE"/>
    <w:rsid w:val="00F7357D"/>
    <w:rsid w:val="00F73683"/>
    <w:rsid w:val="00F74862"/>
    <w:rsid w:val="00F75962"/>
    <w:rsid w:val="00F76468"/>
    <w:rsid w:val="00F769E0"/>
    <w:rsid w:val="00F76D23"/>
    <w:rsid w:val="00F76FBF"/>
    <w:rsid w:val="00F771DF"/>
    <w:rsid w:val="00F77758"/>
    <w:rsid w:val="00F779C8"/>
    <w:rsid w:val="00F77E4C"/>
    <w:rsid w:val="00F77EA7"/>
    <w:rsid w:val="00F77F79"/>
    <w:rsid w:val="00F80CB0"/>
    <w:rsid w:val="00F80EBA"/>
    <w:rsid w:val="00F815F3"/>
    <w:rsid w:val="00F817B3"/>
    <w:rsid w:val="00F817CA"/>
    <w:rsid w:val="00F81EB6"/>
    <w:rsid w:val="00F82348"/>
    <w:rsid w:val="00F8234B"/>
    <w:rsid w:val="00F824CD"/>
    <w:rsid w:val="00F82564"/>
    <w:rsid w:val="00F8262F"/>
    <w:rsid w:val="00F82907"/>
    <w:rsid w:val="00F829C7"/>
    <w:rsid w:val="00F82A58"/>
    <w:rsid w:val="00F82A74"/>
    <w:rsid w:val="00F82B23"/>
    <w:rsid w:val="00F82CCE"/>
    <w:rsid w:val="00F82DF6"/>
    <w:rsid w:val="00F832AA"/>
    <w:rsid w:val="00F8337A"/>
    <w:rsid w:val="00F83467"/>
    <w:rsid w:val="00F841FA"/>
    <w:rsid w:val="00F84282"/>
    <w:rsid w:val="00F84BF5"/>
    <w:rsid w:val="00F84EE8"/>
    <w:rsid w:val="00F8517F"/>
    <w:rsid w:val="00F85745"/>
    <w:rsid w:val="00F85874"/>
    <w:rsid w:val="00F85E08"/>
    <w:rsid w:val="00F8659E"/>
    <w:rsid w:val="00F867B3"/>
    <w:rsid w:val="00F868CD"/>
    <w:rsid w:val="00F86A4A"/>
    <w:rsid w:val="00F87181"/>
    <w:rsid w:val="00F873EA"/>
    <w:rsid w:val="00F875F3"/>
    <w:rsid w:val="00F87CCF"/>
    <w:rsid w:val="00F87E59"/>
    <w:rsid w:val="00F90513"/>
    <w:rsid w:val="00F907FB"/>
    <w:rsid w:val="00F90ACC"/>
    <w:rsid w:val="00F90C64"/>
    <w:rsid w:val="00F9114F"/>
    <w:rsid w:val="00F919A2"/>
    <w:rsid w:val="00F919F7"/>
    <w:rsid w:val="00F92023"/>
    <w:rsid w:val="00F93032"/>
    <w:rsid w:val="00F934DE"/>
    <w:rsid w:val="00F934E9"/>
    <w:rsid w:val="00F9398A"/>
    <w:rsid w:val="00F93BCF"/>
    <w:rsid w:val="00F94193"/>
    <w:rsid w:val="00F942E5"/>
    <w:rsid w:val="00F94329"/>
    <w:rsid w:val="00F94F53"/>
    <w:rsid w:val="00F95392"/>
    <w:rsid w:val="00F9575C"/>
    <w:rsid w:val="00F95CDF"/>
    <w:rsid w:val="00F95D54"/>
    <w:rsid w:val="00F96318"/>
    <w:rsid w:val="00F967D2"/>
    <w:rsid w:val="00F97129"/>
    <w:rsid w:val="00F97715"/>
    <w:rsid w:val="00F979CA"/>
    <w:rsid w:val="00FA0045"/>
    <w:rsid w:val="00FA01EC"/>
    <w:rsid w:val="00FA064D"/>
    <w:rsid w:val="00FA0670"/>
    <w:rsid w:val="00FA06E5"/>
    <w:rsid w:val="00FA135B"/>
    <w:rsid w:val="00FA1699"/>
    <w:rsid w:val="00FA1C55"/>
    <w:rsid w:val="00FA1E85"/>
    <w:rsid w:val="00FA220C"/>
    <w:rsid w:val="00FA259F"/>
    <w:rsid w:val="00FA2E0E"/>
    <w:rsid w:val="00FA2EFD"/>
    <w:rsid w:val="00FA3A95"/>
    <w:rsid w:val="00FA3CA0"/>
    <w:rsid w:val="00FA4085"/>
    <w:rsid w:val="00FA42F0"/>
    <w:rsid w:val="00FA4878"/>
    <w:rsid w:val="00FA497B"/>
    <w:rsid w:val="00FA49E6"/>
    <w:rsid w:val="00FA4CD8"/>
    <w:rsid w:val="00FA569A"/>
    <w:rsid w:val="00FA590E"/>
    <w:rsid w:val="00FA5C47"/>
    <w:rsid w:val="00FA5E80"/>
    <w:rsid w:val="00FA6306"/>
    <w:rsid w:val="00FA6AAD"/>
    <w:rsid w:val="00FA6DA2"/>
    <w:rsid w:val="00FA6F01"/>
    <w:rsid w:val="00FA6FB6"/>
    <w:rsid w:val="00FA7B37"/>
    <w:rsid w:val="00FB0E4C"/>
    <w:rsid w:val="00FB0F05"/>
    <w:rsid w:val="00FB102A"/>
    <w:rsid w:val="00FB1B22"/>
    <w:rsid w:val="00FB2075"/>
    <w:rsid w:val="00FB2B65"/>
    <w:rsid w:val="00FB2F04"/>
    <w:rsid w:val="00FB34AD"/>
    <w:rsid w:val="00FB3717"/>
    <w:rsid w:val="00FB3A1F"/>
    <w:rsid w:val="00FB46AC"/>
    <w:rsid w:val="00FB5727"/>
    <w:rsid w:val="00FB592F"/>
    <w:rsid w:val="00FB5CFF"/>
    <w:rsid w:val="00FB5E31"/>
    <w:rsid w:val="00FB6305"/>
    <w:rsid w:val="00FB651D"/>
    <w:rsid w:val="00FB7074"/>
    <w:rsid w:val="00FB719D"/>
    <w:rsid w:val="00FB7369"/>
    <w:rsid w:val="00FB752E"/>
    <w:rsid w:val="00FB7847"/>
    <w:rsid w:val="00FB78CC"/>
    <w:rsid w:val="00FB78D3"/>
    <w:rsid w:val="00FB7DF7"/>
    <w:rsid w:val="00FC0585"/>
    <w:rsid w:val="00FC0596"/>
    <w:rsid w:val="00FC0A0E"/>
    <w:rsid w:val="00FC14AC"/>
    <w:rsid w:val="00FC1C63"/>
    <w:rsid w:val="00FC2228"/>
    <w:rsid w:val="00FC23AE"/>
    <w:rsid w:val="00FC253E"/>
    <w:rsid w:val="00FC2C6A"/>
    <w:rsid w:val="00FC2F4C"/>
    <w:rsid w:val="00FC33E6"/>
    <w:rsid w:val="00FC35BC"/>
    <w:rsid w:val="00FC35D8"/>
    <w:rsid w:val="00FC38DA"/>
    <w:rsid w:val="00FC475F"/>
    <w:rsid w:val="00FC548B"/>
    <w:rsid w:val="00FC55F9"/>
    <w:rsid w:val="00FC5764"/>
    <w:rsid w:val="00FC5783"/>
    <w:rsid w:val="00FC5A05"/>
    <w:rsid w:val="00FC5EB6"/>
    <w:rsid w:val="00FC6EFD"/>
    <w:rsid w:val="00FC70D5"/>
    <w:rsid w:val="00FC727E"/>
    <w:rsid w:val="00FC7434"/>
    <w:rsid w:val="00FC7811"/>
    <w:rsid w:val="00FD09CF"/>
    <w:rsid w:val="00FD1523"/>
    <w:rsid w:val="00FD1EB6"/>
    <w:rsid w:val="00FD271C"/>
    <w:rsid w:val="00FD2722"/>
    <w:rsid w:val="00FD27C3"/>
    <w:rsid w:val="00FD316C"/>
    <w:rsid w:val="00FD3768"/>
    <w:rsid w:val="00FD3ABB"/>
    <w:rsid w:val="00FD443A"/>
    <w:rsid w:val="00FD588A"/>
    <w:rsid w:val="00FD5D7B"/>
    <w:rsid w:val="00FD5F47"/>
    <w:rsid w:val="00FD6FD9"/>
    <w:rsid w:val="00FD70A7"/>
    <w:rsid w:val="00FD79B6"/>
    <w:rsid w:val="00FE0494"/>
    <w:rsid w:val="00FE0E83"/>
    <w:rsid w:val="00FE1069"/>
    <w:rsid w:val="00FE1887"/>
    <w:rsid w:val="00FE1DE7"/>
    <w:rsid w:val="00FE21B7"/>
    <w:rsid w:val="00FE27F4"/>
    <w:rsid w:val="00FE289D"/>
    <w:rsid w:val="00FE3266"/>
    <w:rsid w:val="00FE3973"/>
    <w:rsid w:val="00FE3C6E"/>
    <w:rsid w:val="00FE3DEF"/>
    <w:rsid w:val="00FE481D"/>
    <w:rsid w:val="00FE4976"/>
    <w:rsid w:val="00FE4982"/>
    <w:rsid w:val="00FE59DD"/>
    <w:rsid w:val="00FE6637"/>
    <w:rsid w:val="00FE68F0"/>
    <w:rsid w:val="00FE6DC2"/>
    <w:rsid w:val="00FE7529"/>
    <w:rsid w:val="00FE7681"/>
    <w:rsid w:val="00FE7813"/>
    <w:rsid w:val="00FE7913"/>
    <w:rsid w:val="00FE79DD"/>
    <w:rsid w:val="00FE7A7B"/>
    <w:rsid w:val="00FE7D40"/>
    <w:rsid w:val="00FE7E7C"/>
    <w:rsid w:val="00FF03B6"/>
    <w:rsid w:val="00FF0E0D"/>
    <w:rsid w:val="00FF0F1A"/>
    <w:rsid w:val="00FF1B28"/>
    <w:rsid w:val="00FF1D52"/>
    <w:rsid w:val="00FF1E40"/>
    <w:rsid w:val="00FF2041"/>
    <w:rsid w:val="00FF2539"/>
    <w:rsid w:val="00FF2BB6"/>
    <w:rsid w:val="00FF3089"/>
    <w:rsid w:val="00FF35CF"/>
    <w:rsid w:val="00FF36C5"/>
    <w:rsid w:val="00FF4B96"/>
    <w:rsid w:val="00FF5167"/>
    <w:rsid w:val="00FF52FB"/>
    <w:rsid w:val="00FF54E3"/>
    <w:rsid w:val="00FF5BAC"/>
    <w:rsid w:val="00FF5F5F"/>
    <w:rsid w:val="00FF7928"/>
    <w:rsid w:val="00FF7CA7"/>
    <w:rsid w:val="00FF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E5AB4C1"/>
  <w15:docId w15:val="{FB081A69-63F6-4B35-A953-93698580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7"/>
    <w:rPr>
      <w:rFonts w:ascii="Segoe UI" w:hAnsi="Segoe UI"/>
    </w:rPr>
  </w:style>
  <w:style w:type="paragraph" w:styleId="Heading1">
    <w:name w:val="heading 1"/>
    <w:basedOn w:val="Normal"/>
    <w:next w:val="Normal"/>
    <w:link w:val="Heading1Char"/>
    <w:uiPriority w:val="9"/>
    <w:qFormat/>
    <w:rsid w:val="00311757"/>
    <w:pPr>
      <w:keepNext/>
      <w:keepLines/>
      <w:spacing w:before="480" w:after="240"/>
      <w:outlineLvl w:val="0"/>
    </w:pPr>
    <w:rPr>
      <w:rFonts w:asciiTheme="majorHAnsi" w:eastAsiaTheme="majorEastAsia" w:hAnsiTheme="majorHAnsi" w:cs="Segoe UI"/>
      <w:b/>
      <w:bCs/>
      <w:color w:val="6BADB7" w:themeColor="accent1" w:themeShade="BF"/>
      <w:sz w:val="28"/>
      <w:szCs w:val="28"/>
    </w:rPr>
  </w:style>
  <w:style w:type="paragraph" w:styleId="Heading2">
    <w:name w:val="heading 2"/>
    <w:basedOn w:val="Normal"/>
    <w:next w:val="Normal"/>
    <w:link w:val="Heading2Char"/>
    <w:uiPriority w:val="9"/>
    <w:unhideWhenUsed/>
    <w:qFormat/>
    <w:rsid w:val="00317F9D"/>
    <w:pPr>
      <w:keepNext/>
      <w:keepLines/>
      <w:spacing w:before="200" w:after="0"/>
      <w:outlineLvl w:val="1"/>
    </w:pPr>
    <w:rPr>
      <w:rFonts w:asciiTheme="majorHAnsi" w:eastAsiaTheme="majorEastAsia" w:hAnsiTheme="majorHAnsi" w:cstheme="majorBidi"/>
      <w:b/>
      <w:bCs/>
      <w:color w:val="ADD2D7" w:themeColor="accent1"/>
      <w:sz w:val="26"/>
      <w:szCs w:val="26"/>
    </w:rPr>
  </w:style>
  <w:style w:type="paragraph" w:styleId="Heading3">
    <w:name w:val="heading 3"/>
    <w:basedOn w:val="Normal"/>
    <w:next w:val="Normal"/>
    <w:link w:val="Heading3Char"/>
    <w:uiPriority w:val="9"/>
    <w:unhideWhenUsed/>
    <w:qFormat/>
    <w:rsid w:val="00317F9D"/>
    <w:pPr>
      <w:keepNext/>
      <w:keepLines/>
      <w:spacing w:before="200" w:after="0"/>
      <w:outlineLvl w:val="2"/>
    </w:pPr>
    <w:rPr>
      <w:rFonts w:asciiTheme="majorHAnsi" w:eastAsiaTheme="majorEastAsia" w:hAnsiTheme="majorHAnsi" w:cstheme="majorBidi"/>
      <w:b/>
      <w:bCs/>
      <w:color w:val="ADD2D7" w:themeColor="accent1"/>
    </w:rPr>
  </w:style>
  <w:style w:type="paragraph" w:styleId="Heading4">
    <w:name w:val="heading 4"/>
    <w:basedOn w:val="Normal"/>
    <w:next w:val="Normal"/>
    <w:link w:val="Heading4Char"/>
    <w:uiPriority w:val="9"/>
    <w:unhideWhenUsed/>
    <w:qFormat/>
    <w:rsid w:val="00C74A6C"/>
    <w:pPr>
      <w:keepNext/>
      <w:keepLines/>
      <w:spacing w:before="200" w:after="0"/>
      <w:outlineLvl w:val="3"/>
    </w:pPr>
    <w:rPr>
      <w:rFonts w:asciiTheme="majorHAnsi" w:eastAsiaTheme="majorEastAsia" w:hAnsiTheme="majorHAnsi" w:cstheme="majorBidi"/>
      <w:b/>
      <w:bCs/>
      <w:i/>
      <w:iCs/>
      <w:color w:val="ADD2D7" w:themeColor="accent1"/>
    </w:rPr>
  </w:style>
  <w:style w:type="paragraph" w:styleId="Heading5">
    <w:name w:val="heading 5"/>
    <w:basedOn w:val="Normal"/>
    <w:next w:val="Normal"/>
    <w:link w:val="Heading5Char"/>
    <w:uiPriority w:val="9"/>
    <w:unhideWhenUsed/>
    <w:qFormat/>
    <w:rsid w:val="00F64180"/>
    <w:pPr>
      <w:keepNext/>
      <w:keepLines/>
      <w:spacing w:before="40" w:after="0"/>
      <w:outlineLvl w:val="4"/>
    </w:pPr>
    <w:rPr>
      <w:rFonts w:asciiTheme="majorHAnsi" w:eastAsiaTheme="majorEastAsia" w:hAnsiTheme="majorHAnsi" w:cstheme="majorBidi"/>
      <w:color w:val="6BADB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757"/>
    <w:rPr>
      <w:rFonts w:asciiTheme="majorHAnsi" w:eastAsiaTheme="majorEastAsia" w:hAnsiTheme="majorHAnsi" w:cs="Segoe UI"/>
      <w:b/>
      <w:bCs/>
      <w:color w:val="6BADB7" w:themeColor="accent1" w:themeShade="BF"/>
      <w:sz w:val="28"/>
      <w:szCs w:val="28"/>
    </w:rPr>
  </w:style>
  <w:style w:type="character" w:customStyle="1" w:styleId="Heading2Char">
    <w:name w:val="Heading 2 Char"/>
    <w:basedOn w:val="DefaultParagraphFont"/>
    <w:link w:val="Heading2"/>
    <w:uiPriority w:val="9"/>
    <w:rsid w:val="00317F9D"/>
    <w:rPr>
      <w:rFonts w:asciiTheme="majorHAnsi" w:eastAsiaTheme="majorEastAsia" w:hAnsiTheme="majorHAnsi" w:cstheme="majorBidi"/>
      <w:b/>
      <w:bCs/>
      <w:color w:val="ADD2D7" w:themeColor="accent1"/>
      <w:sz w:val="26"/>
      <w:szCs w:val="26"/>
    </w:rPr>
  </w:style>
  <w:style w:type="character" w:customStyle="1" w:styleId="Heading3Char">
    <w:name w:val="Heading 3 Char"/>
    <w:basedOn w:val="DefaultParagraphFont"/>
    <w:link w:val="Heading3"/>
    <w:uiPriority w:val="9"/>
    <w:rsid w:val="00317F9D"/>
    <w:rPr>
      <w:rFonts w:asciiTheme="majorHAnsi" w:eastAsiaTheme="majorEastAsia" w:hAnsiTheme="majorHAnsi" w:cstheme="majorBidi"/>
      <w:b/>
      <w:bCs/>
      <w:color w:val="ADD2D7" w:themeColor="accent1"/>
    </w:rPr>
  </w:style>
  <w:style w:type="character" w:customStyle="1" w:styleId="Heading4Char">
    <w:name w:val="Heading 4 Char"/>
    <w:basedOn w:val="DefaultParagraphFont"/>
    <w:link w:val="Heading4"/>
    <w:uiPriority w:val="9"/>
    <w:rsid w:val="00C74A6C"/>
    <w:rPr>
      <w:rFonts w:asciiTheme="majorHAnsi" w:eastAsiaTheme="majorEastAsia" w:hAnsiTheme="majorHAnsi" w:cstheme="majorBidi"/>
      <w:b/>
      <w:bCs/>
      <w:i/>
      <w:iCs/>
      <w:color w:val="ADD2D7" w:themeColor="accent1"/>
    </w:rPr>
  </w:style>
  <w:style w:type="paragraph" w:styleId="NoSpacing">
    <w:name w:val="No Spacing"/>
    <w:link w:val="NoSpacingChar"/>
    <w:uiPriority w:val="1"/>
    <w:qFormat/>
    <w:rsid w:val="001D3A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D3ABE"/>
    <w:rPr>
      <w:rFonts w:eastAsiaTheme="minorEastAsia"/>
      <w:lang w:eastAsia="ja-JP"/>
    </w:rPr>
  </w:style>
  <w:style w:type="paragraph" w:styleId="BalloonText">
    <w:name w:val="Balloon Text"/>
    <w:basedOn w:val="Normal"/>
    <w:link w:val="BalloonTextChar"/>
    <w:uiPriority w:val="99"/>
    <w:semiHidden/>
    <w:unhideWhenUsed/>
    <w:rsid w:val="001D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BE"/>
    <w:rPr>
      <w:rFonts w:ascii="Tahoma" w:hAnsi="Tahoma" w:cs="Tahoma"/>
      <w:sz w:val="16"/>
      <w:szCs w:val="16"/>
    </w:rPr>
  </w:style>
  <w:style w:type="paragraph" w:styleId="Title">
    <w:name w:val="Title"/>
    <w:basedOn w:val="Normal"/>
    <w:next w:val="Normal"/>
    <w:link w:val="TitleChar"/>
    <w:uiPriority w:val="10"/>
    <w:qFormat/>
    <w:rsid w:val="0018656C"/>
    <w:pPr>
      <w:pBdr>
        <w:bottom w:val="single" w:sz="8" w:space="4" w:color="ADD2D7" w:themeColor="accent1"/>
      </w:pBdr>
      <w:spacing w:after="300" w:line="240" w:lineRule="auto"/>
      <w:contextualSpacing/>
    </w:pPr>
    <w:rPr>
      <w:rFonts w:asciiTheme="majorHAnsi" w:eastAsiaTheme="majorEastAsia" w:hAnsiTheme="majorHAnsi" w:cstheme="majorBidi"/>
      <w:color w:val="28476D" w:themeColor="text2" w:themeShade="BF"/>
      <w:spacing w:val="5"/>
      <w:kern w:val="28"/>
      <w:sz w:val="52"/>
      <w:szCs w:val="52"/>
    </w:rPr>
  </w:style>
  <w:style w:type="character" w:customStyle="1" w:styleId="TitleChar">
    <w:name w:val="Title Char"/>
    <w:basedOn w:val="DefaultParagraphFont"/>
    <w:link w:val="Title"/>
    <w:uiPriority w:val="10"/>
    <w:rsid w:val="0018656C"/>
    <w:rPr>
      <w:rFonts w:asciiTheme="majorHAnsi" w:eastAsiaTheme="majorEastAsia" w:hAnsiTheme="majorHAnsi" w:cstheme="majorBidi"/>
      <w:color w:val="28476D" w:themeColor="text2" w:themeShade="BF"/>
      <w:spacing w:val="5"/>
      <w:kern w:val="28"/>
      <w:sz w:val="52"/>
      <w:szCs w:val="52"/>
    </w:rPr>
  </w:style>
  <w:style w:type="paragraph" w:styleId="Header">
    <w:name w:val="header"/>
    <w:basedOn w:val="Normal"/>
    <w:link w:val="HeaderChar"/>
    <w:uiPriority w:val="99"/>
    <w:unhideWhenUsed/>
    <w:rsid w:val="00D80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FAB"/>
  </w:style>
  <w:style w:type="paragraph" w:styleId="Footer">
    <w:name w:val="footer"/>
    <w:basedOn w:val="Normal"/>
    <w:link w:val="FooterChar"/>
    <w:uiPriority w:val="99"/>
    <w:unhideWhenUsed/>
    <w:rsid w:val="00D80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FAB"/>
  </w:style>
  <w:style w:type="paragraph" w:styleId="TOCHeading">
    <w:name w:val="TOC Heading"/>
    <w:basedOn w:val="Heading1"/>
    <w:next w:val="Normal"/>
    <w:uiPriority w:val="39"/>
    <w:unhideWhenUsed/>
    <w:qFormat/>
    <w:rsid w:val="00D2264D"/>
    <w:pPr>
      <w:outlineLvl w:val="9"/>
    </w:pPr>
    <w:rPr>
      <w:lang w:eastAsia="ja-JP"/>
    </w:rPr>
  </w:style>
  <w:style w:type="paragraph" w:styleId="TOC1">
    <w:name w:val="toc 1"/>
    <w:basedOn w:val="Normal"/>
    <w:next w:val="Normal"/>
    <w:autoRedefine/>
    <w:uiPriority w:val="39"/>
    <w:unhideWhenUsed/>
    <w:rsid w:val="00D2264D"/>
    <w:pPr>
      <w:spacing w:after="100"/>
    </w:pPr>
  </w:style>
  <w:style w:type="paragraph" w:styleId="TOC2">
    <w:name w:val="toc 2"/>
    <w:basedOn w:val="Normal"/>
    <w:next w:val="Normal"/>
    <w:autoRedefine/>
    <w:uiPriority w:val="39"/>
    <w:unhideWhenUsed/>
    <w:rsid w:val="00D2264D"/>
    <w:pPr>
      <w:spacing w:after="100"/>
      <w:ind w:left="220"/>
    </w:pPr>
  </w:style>
  <w:style w:type="paragraph" w:styleId="TOC3">
    <w:name w:val="toc 3"/>
    <w:basedOn w:val="Normal"/>
    <w:next w:val="Normal"/>
    <w:autoRedefine/>
    <w:uiPriority w:val="39"/>
    <w:unhideWhenUsed/>
    <w:rsid w:val="00D2264D"/>
    <w:pPr>
      <w:spacing w:after="100"/>
      <w:ind w:left="440"/>
    </w:pPr>
  </w:style>
  <w:style w:type="character" w:styleId="Hyperlink">
    <w:name w:val="Hyperlink"/>
    <w:basedOn w:val="DefaultParagraphFont"/>
    <w:uiPriority w:val="99"/>
    <w:unhideWhenUsed/>
    <w:rsid w:val="00D2264D"/>
    <w:rPr>
      <w:color w:val="0000FF" w:themeColor="hyperlink"/>
      <w:u w:val="single"/>
    </w:rPr>
  </w:style>
  <w:style w:type="table" w:styleId="TableGrid">
    <w:name w:val="Table Grid"/>
    <w:basedOn w:val="TableNormal"/>
    <w:uiPriority w:val="59"/>
    <w:rsid w:val="00D22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apis Bulleted List,First Level Outline,Numbered List Paragraph,heading 6,List Paragraph1,Bullets,List Paragraph (numbered (a))"/>
    <w:basedOn w:val="Normal"/>
    <w:link w:val="ListParagraphChar"/>
    <w:uiPriority w:val="34"/>
    <w:qFormat/>
    <w:rsid w:val="001277CC"/>
    <w:pPr>
      <w:ind w:left="720"/>
      <w:contextualSpacing/>
    </w:pPr>
  </w:style>
  <w:style w:type="paragraph" w:styleId="FootnoteText">
    <w:name w:val="footnote text"/>
    <w:aliases w:val="fn,single space,footnote text,FOOTNOTES,Footnote Text Char Char Char Char Char Char,Footnote,Fußnote,FSR footnote,lábléc,Footnote Text Char2 Char,Footnote Text Char1 Char Char,Footnote Text Char Char Char Char,Footnote Text Char Char,12pt"/>
    <w:basedOn w:val="Normal"/>
    <w:link w:val="FootnoteTextChar"/>
    <w:uiPriority w:val="99"/>
    <w:unhideWhenUsed/>
    <w:rsid w:val="00593528"/>
    <w:pPr>
      <w:spacing w:after="0" w:line="240" w:lineRule="auto"/>
    </w:pPr>
    <w:rPr>
      <w:sz w:val="20"/>
      <w:szCs w:val="20"/>
    </w:rPr>
  </w:style>
  <w:style w:type="character" w:customStyle="1" w:styleId="FootnoteTextChar">
    <w:name w:val="Footnote Text Char"/>
    <w:aliases w:val="fn Char1,single space Char1,footnote text Char1,FOOTNOTES Char1,Footnote Text Char Char Char Char Char Char Char1,Footnote Char1,Fußnote Char1,FSR footnote Char1,lábléc Char1,Footnote Text Char2 Char Char1,Footnote Text Char Char Char"/>
    <w:basedOn w:val="DefaultParagraphFont"/>
    <w:link w:val="FootnoteText"/>
    <w:uiPriority w:val="99"/>
    <w:rsid w:val="00593528"/>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fr,16 Point,Superscript 6 Point, BVI fnr,BVI fnr, BVI fnr Car Car,BVI fnr Car"/>
    <w:basedOn w:val="DefaultParagraphFont"/>
    <w:link w:val="BVIfnrCarCarCarCarChar"/>
    <w:uiPriority w:val="99"/>
    <w:unhideWhenUsed/>
    <w:rsid w:val="00593528"/>
    <w:rPr>
      <w:vertAlign w:val="superscript"/>
    </w:rPr>
  </w:style>
  <w:style w:type="character" w:styleId="CommentReference">
    <w:name w:val="annotation reference"/>
    <w:basedOn w:val="DefaultParagraphFont"/>
    <w:uiPriority w:val="99"/>
    <w:semiHidden/>
    <w:unhideWhenUsed/>
    <w:rsid w:val="00593528"/>
    <w:rPr>
      <w:sz w:val="16"/>
      <w:szCs w:val="16"/>
    </w:rPr>
  </w:style>
  <w:style w:type="paragraph" w:styleId="CommentText">
    <w:name w:val="annotation text"/>
    <w:basedOn w:val="Normal"/>
    <w:link w:val="CommentTextChar"/>
    <w:uiPriority w:val="99"/>
    <w:unhideWhenUsed/>
    <w:rsid w:val="00593528"/>
    <w:pPr>
      <w:spacing w:line="240" w:lineRule="auto"/>
    </w:pPr>
    <w:rPr>
      <w:sz w:val="20"/>
      <w:szCs w:val="20"/>
    </w:rPr>
  </w:style>
  <w:style w:type="character" w:customStyle="1" w:styleId="CommentTextChar">
    <w:name w:val="Comment Text Char"/>
    <w:basedOn w:val="DefaultParagraphFont"/>
    <w:link w:val="CommentText"/>
    <w:uiPriority w:val="99"/>
    <w:rsid w:val="00593528"/>
    <w:rPr>
      <w:sz w:val="20"/>
      <w:szCs w:val="20"/>
    </w:rPr>
  </w:style>
  <w:style w:type="table" w:styleId="LightShading">
    <w:name w:val="Light Shading"/>
    <w:basedOn w:val="TableNormal"/>
    <w:uiPriority w:val="60"/>
    <w:rsid w:val="003345FA"/>
    <w:pPr>
      <w:spacing w:after="0" w:line="240" w:lineRule="auto"/>
    </w:pPr>
    <w:rPr>
      <w:color w:val="112845" w:themeColor="text1" w:themeShade="BF"/>
    </w:rPr>
    <w:tblPr>
      <w:tblStyleRowBandSize w:val="1"/>
      <w:tblStyleColBandSize w:val="1"/>
      <w:tblInd w:w="0" w:type="dxa"/>
      <w:tblBorders>
        <w:top w:val="single" w:sz="8" w:space="0" w:color="17365D" w:themeColor="text1"/>
        <w:bottom w:val="single" w:sz="8" w:space="0" w:color="17365D"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3345FA"/>
    <w:pPr>
      <w:spacing w:after="0" w:line="240" w:lineRule="auto"/>
    </w:pPr>
    <w:rPr>
      <w:color w:val="6BADB7" w:themeColor="accent1" w:themeShade="BF"/>
    </w:rPr>
    <w:tblPr>
      <w:tblStyleRowBandSize w:val="1"/>
      <w:tblStyleColBandSize w:val="1"/>
      <w:tblInd w:w="0" w:type="dxa"/>
      <w:tblBorders>
        <w:top w:val="single" w:sz="8" w:space="0" w:color="ADD2D7" w:themeColor="accent1"/>
        <w:bottom w:val="single" w:sz="8" w:space="0" w:color="ADD2D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DD2D7" w:themeColor="accent1"/>
          <w:left w:val="nil"/>
          <w:bottom w:val="single" w:sz="8" w:space="0" w:color="ADD2D7" w:themeColor="accent1"/>
          <w:right w:val="nil"/>
          <w:insideH w:val="nil"/>
          <w:insideV w:val="nil"/>
        </w:tcBorders>
      </w:tcPr>
    </w:tblStylePr>
    <w:tblStylePr w:type="lastRow">
      <w:pPr>
        <w:spacing w:before="0" w:after="0" w:line="240" w:lineRule="auto"/>
      </w:pPr>
      <w:rPr>
        <w:b/>
        <w:bCs/>
      </w:rPr>
      <w:tblPr/>
      <w:tcPr>
        <w:tcBorders>
          <w:top w:val="single" w:sz="8" w:space="0" w:color="ADD2D7" w:themeColor="accent1"/>
          <w:left w:val="nil"/>
          <w:bottom w:val="single" w:sz="8" w:space="0" w:color="ADD2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F5" w:themeFill="accent1" w:themeFillTint="3F"/>
      </w:tcPr>
    </w:tblStylePr>
    <w:tblStylePr w:type="band1Horz">
      <w:tblPr/>
      <w:tcPr>
        <w:tcBorders>
          <w:left w:val="nil"/>
          <w:right w:val="nil"/>
          <w:insideH w:val="nil"/>
          <w:insideV w:val="nil"/>
        </w:tcBorders>
        <w:shd w:val="clear" w:color="auto" w:fill="EAF3F5" w:themeFill="accent1" w:themeFillTint="3F"/>
      </w:tcPr>
    </w:tblStylePr>
  </w:style>
  <w:style w:type="table" w:styleId="LightShading-Accent2">
    <w:name w:val="Light Shading Accent 2"/>
    <w:basedOn w:val="TableNormal"/>
    <w:uiPriority w:val="60"/>
    <w:rsid w:val="003345FA"/>
    <w:pPr>
      <w:spacing w:after="0" w:line="240" w:lineRule="auto"/>
    </w:pPr>
    <w:rPr>
      <w:color w:val="4F9BA6" w:themeColor="accent2" w:themeShade="BF"/>
    </w:rPr>
    <w:tblPr>
      <w:tblStyleRowBandSize w:val="1"/>
      <w:tblStyleColBandSize w:val="1"/>
      <w:tblInd w:w="0" w:type="dxa"/>
      <w:tblBorders>
        <w:top w:val="single" w:sz="8" w:space="0" w:color="84BCC4" w:themeColor="accent2"/>
        <w:bottom w:val="single" w:sz="8" w:space="0" w:color="84BCC4"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BCC4" w:themeColor="accent2"/>
          <w:left w:val="nil"/>
          <w:bottom w:val="single" w:sz="8" w:space="0" w:color="84BCC4" w:themeColor="accent2"/>
          <w:right w:val="nil"/>
          <w:insideH w:val="nil"/>
          <w:insideV w:val="nil"/>
        </w:tcBorders>
      </w:tcPr>
    </w:tblStylePr>
    <w:tblStylePr w:type="lastRow">
      <w:pPr>
        <w:spacing w:before="0" w:after="0" w:line="240" w:lineRule="auto"/>
      </w:pPr>
      <w:rPr>
        <w:b/>
        <w:bCs/>
      </w:rPr>
      <w:tblPr/>
      <w:tcPr>
        <w:tcBorders>
          <w:top w:val="single" w:sz="8" w:space="0" w:color="84BCC4" w:themeColor="accent2"/>
          <w:left w:val="nil"/>
          <w:bottom w:val="single" w:sz="8" w:space="0" w:color="84BCC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EF0" w:themeFill="accent2" w:themeFillTint="3F"/>
      </w:tcPr>
    </w:tblStylePr>
    <w:tblStylePr w:type="band1Horz">
      <w:tblPr/>
      <w:tcPr>
        <w:tcBorders>
          <w:left w:val="nil"/>
          <w:right w:val="nil"/>
          <w:insideH w:val="nil"/>
          <w:insideV w:val="nil"/>
        </w:tcBorders>
        <w:shd w:val="clear" w:color="auto" w:fill="E0EEF0" w:themeFill="accent2" w:themeFillTint="3F"/>
      </w:tcPr>
    </w:tblStylePr>
  </w:style>
  <w:style w:type="table" w:styleId="LightShading-Accent3">
    <w:name w:val="Light Shading Accent 3"/>
    <w:basedOn w:val="TableNormal"/>
    <w:uiPriority w:val="60"/>
    <w:rsid w:val="003345FA"/>
    <w:pPr>
      <w:spacing w:after="0" w:line="240" w:lineRule="auto"/>
    </w:pPr>
    <w:rPr>
      <w:color w:val="3D7880" w:themeColor="accent3" w:themeShade="BF"/>
    </w:rPr>
    <w:tblPr>
      <w:tblStyleRowBandSize w:val="1"/>
      <w:tblStyleColBandSize w:val="1"/>
      <w:tblInd w:w="0" w:type="dxa"/>
      <w:tblBorders>
        <w:top w:val="single" w:sz="8" w:space="0" w:color="52A1AC" w:themeColor="accent3"/>
        <w:bottom w:val="single" w:sz="8" w:space="0" w:color="52A1A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2A1AC" w:themeColor="accent3"/>
          <w:left w:val="nil"/>
          <w:bottom w:val="single" w:sz="8" w:space="0" w:color="52A1AC" w:themeColor="accent3"/>
          <w:right w:val="nil"/>
          <w:insideH w:val="nil"/>
          <w:insideV w:val="nil"/>
        </w:tcBorders>
      </w:tcPr>
    </w:tblStylePr>
    <w:tblStylePr w:type="lastRow">
      <w:pPr>
        <w:spacing w:before="0" w:after="0" w:line="240" w:lineRule="auto"/>
      </w:pPr>
      <w:rPr>
        <w:b/>
        <w:bCs/>
      </w:rPr>
      <w:tblPr/>
      <w:tcPr>
        <w:tcBorders>
          <w:top w:val="single" w:sz="8" w:space="0" w:color="52A1AC" w:themeColor="accent3"/>
          <w:left w:val="nil"/>
          <w:bottom w:val="single" w:sz="8" w:space="0" w:color="52A1A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7EA" w:themeFill="accent3" w:themeFillTint="3F"/>
      </w:tcPr>
    </w:tblStylePr>
    <w:tblStylePr w:type="band1Horz">
      <w:tblPr/>
      <w:tcPr>
        <w:tcBorders>
          <w:left w:val="nil"/>
          <w:right w:val="nil"/>
          <w:insideH w:val="nil"/>
          <w:insideV w:val="nil"/>
        </w:tcBorders>
        <w:shd w:val="clear" w:color="auto" w:fill="D4E7EA" w:themeFill="accent3" w:themeFillTint="3F"/>
      </w:tcPr>
    </w:tblStylePr>
  </w:style>
  <w:style w:type="table" w:styleId="LightShading-Accent4">
    <w:name w:val="Light Shading Accent 4"/>
    <w:basedOn w:val="TableNormal"/>
    <w:uiPriority w:val="60"/>
    <w:rsid w:val="003345FA"/>
    <w:pPr>
      <w:spacing w:after="0" w:line="240" w:lineRule="auto"/>
    </w:pPr>
    <w:rPr>
      <w:color w:val="326269" w:themeColor="accent4" w:themeShade="BF"/>
    </w:rPr>
    <w:tblPr>
      <w:tblStyleRowBandSize w:val="1"/>
      <w:tblStyleColBandSize w:val="1"/>
      <w:tblInd w:w="0" w:type="dxa"/>
      <w:tblBorders>
        <w:top w:val="single" w:sz="8" w:space="0" w:color="43848D" w:themeColor="accent4"/>
        <w:bottom w:val="single" w:sz="8" w:space="0" w:color="43848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48D" w:themeColor="accent4"/>
          <w:left w:val="nil"/>
          <w:bottom w:val="single" w:sz="8" w:space="0" w:color="43848D" w:themeColor="accent4"/>
          <w:right w:val="nil"/>
          <w:insideH w:val="nil"/>
          <w:insideV w:val="nil"/>
        </w:tcBorders>
      </w:tcPr>
    </w:tblStylePr>
    <w:tblStylePr w:type="lastRow">
      <w:pPr>
        <w:spacing w:before="0" w:after="0" w:line="240" w:lineRule="auto"/>
      </w:pPr>
      <w:rPr>
        <w:b/>
        <w:bCs/>
      </w:rPr>
      <w:tblPr/>
      <w:tcPr>
        <w:tcBorders>
          <w:top w:val="single" w:sz="8" w:space="0" w:color="43848D" w:themeColor="accent4"/>
          <w:left w:val="nil"/>
          <w:bottom w:val="single" w:sz="8" w:space="0" w:color="43848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E7" w:themeFill="accent4" w:themeFillTint="3F"/>
      </w:tcPr>
    </w:tblStylePr>
    <w:tblStylePr w:type="band1Horz">
      <w:tblPr/>
      <w:tcPr>
        <w:tcBorders>
          <w:left w:val="nil"/>
          <w:right w:val="nil"/>
          <w:insideH w:val="nil"/>
          <w:insideV w:val="nil"/>
        </w:tcBorders>
        <w:shd w:val="clear" w:color="auto" w:fill="CCE3E7" w:themeFill="accent4" w:themeFillTint="3F"/>
      </w:tcPr>
    </w:tblStylePr>
  </w:style>
  <w:style w:type="table" w:styleId="LightList-Accent4">
    <w:name w:val="Light List Accent 4"/>
    <w:basedOn w:val="TableNormal"/>
    <w:uiPriority w:val="61"/>
    <w:rsid w:val="003345FA"/>
    <w:pPr>
      <w:spacing w:after="0" w:line="240" w:lineRule="auto"/>
    </w:pPr>
    <w:tblPr>
      <w:tblStyleRowBandSize w:val="1"/>
      <w:tblStyleColBandSize w:val="1"/>
      <w:tblInd w:w="0" w:type="dxa"/>
      <w:tblBorders>
        <w:top w:val="single" w:sz="8" w:space="0" w:color="43848D" w:themeColor="accent4"/>
        <w:left w:val="single" w:sz="8" w:space="0" w:color="43848D" w:themeColor="accent4"/>
        <w:bottom w:val="single" w:sz="8" w:space="0" w:color="43848D" w:themeColor="accent4"/>
        <w:right w:val="single" w:sz="8" w:space="0" w:color="43848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48D" w:themeFill="accent4"/>
      </w:tcPr>
    </w:tblStylePr>
    <w:tblStylePr w:type="lastRow">
      <w:pPr>
        <w:spacing w:before="0" w:after="0" w:line="240" w:lineRule="auto"/>
      </w:pPr>
      <w:rPr>
        <w:b/>
        <w:bCs/>
      </w:rPr>
      <w:tblPr/>
      <w:tcPr>
        <w:tcBorders>
          <w:top w:val="double" w:sz="6" w:space="0" w:color="43848D" w:themeColor="accent4"/>
          <w:left w:val="single" w:sz="8" w:space="0" w:color="43848D" w:themeColor="accent4"/>
          <w:bottom w:val="single" w:sz="8" w:space="0" w:color="43848D" w:themeColor="accent4"/>
          <w:right w:val="single" w:sz="8" w:space="0" w:color="43848D" w:themeColor="accent4"/>
        </w:tcBorders>
      </w:tcPr>
    </w:tblStylePr>
    <w:tblStylePr w:type="firstCol">
      <w:rPr>
        <w:b/>
        <w:bCs/>
      </w:rPr>
    </w:tblStylePr>
    <w:tblStylePr w:type="lastCol">
      <w:rPr>
        <w:b/>
        <w:bCs/>
      </w:rPr>
    </w:tblStylePr>
    <w:tblStylePr w:type="band1Vert">
      <w:tblPr/>
      <w:tcPr>
        <w:tcBorders>
          <w:top w:val="single" w:sz="8" w:space="0" w:color="43848D" w:themeColor="accent4"/>
          <w:left w:val="single" w:sz="8" w:space="0" w:color="43848D" w:themeColor="accent4"/>
          <w:bottom w:val="single" w:sz="8" w:space="0" w:color="43848D" w:themeColor="accent4"/>
          <w:right w:val="single" w:sz="8" w:space="0" w:color="43848D" w:themeColor="accent4"/>
        </w:tcBorders>
      </w:tcPr>
    </w:tblStylePr>
    <w:tblStylePr w:type="band1Horz">
      <w:tblPr/>
      <w:tcPr>
        <w:tcBorders>
          <w:top w:val="single" w:sz="8" w:space="0" w:color="43848D" w:themeColor="accent4"/>
          <w:left w:val="single" w:sz="8" w:space="0" w:color="43848D" w:themeColor="accent4"/>
          <w:bottom w:val="single" w:sz="8" w:space="0" w:color="43848D" w:themeColor="accent4"/>
          <w:right w:val="single" w:sz="8" w:space="0" w:color="43848D" w:themeColor="accent4"/>
        </w:tcBorders>
      </w:tcPr>
    </w:tblStylePr>
  </w:style>
  <w:style w:type="table" w:styleId="LightGrid-Accent3">
    <w:name w:val="Light Grid Accent 3"/>
    <w:basedOn w:val="TableNormal"/>
    <w:uiPriority w:val="62"/>
    <w:rsid w:val="003345FA"/>
    <w:pPr>
      <w:spacing w:after="0" w:line="240" w:lineRule="auto"/>
    </w:pPr>
    <w:tblPr>
      <w:tblStyleRowBandSize w:val="1"/>
      <w:tblStyleColBandSize w:val="1"/>
      <w:tblInd w:w="0" w:type="dxa"/>
      <w:tblBorders>
        <w:top w:val="single" w:sz="8" w:space="0" w:color="52A1AC" w:themeColor="accent3"/>
        <w:left w:val="single" w:sz="8" w:space="0" w:color="52A1AC" w:themeColor="accent3"/>
        <w:bottom w:val="single" w:sz="8" w:space="0" w:color="52A1AC" w:themeColor="accent3"/>
        <w:right w:val="single" w:sz="8" w:space="0" w:color="52A1AC" w:themeColor="accent3"/>
        <w:insideH w:val="single" w:sz="8" w:space="0" w:color="52A1AC" w:themeColor="accent3"/>
        <w:insideV w:val="single" w:sz="8" w:space="0" w:color="52A1A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2A1AC" w:themeColor="accent3"/>
          <w:left w:val="single" w:sz="8" w:space="0" w:color="52A1AC" w:themeColor="accent3"/>
          <w:bottom w:val="single" w:sz="18" w:space="0" w:color="52A1AC" w:themeColor="accent3"/>
          <w:right w:val="single" w:sz="8" w:space="0" w:color="52A1AC" w:themeColor="accent3"/>
          <w:insideH w:val="nil"/>
          <w:insideV w:val="single" w:sz="8" w:space="0" w:color="52A1A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A1AC" w:themeColor="accent3"/>
          <w:left w:val="single" w:sz="8" w:space="0" w:color="52A1AC" w:themeColor="accent3"/>
          <w:bottom w:val="single" w:sz="8" w:space="0" w:color="52A1AC" w:themeColor="accent3"/>
          <w:right w:val="single" w:sz="8" w:space="0" w:color="52A1AC" w:themeColor="accent3"/>
          <w:insideH w:val="nil"/>
          <w:insideV w:val="single" w:sz="8" w:space="0" w:color="52A1A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A1AC" w:themeColor="accent3"/>
          <w:left w:val="single" w:sz="8" w:space="0" w:color="52A1AC" w:themeColor="accent3"/>
          <w:bottom w:val="single" w:sz="8" w:space="0" w:color="52A1AC" w:themeColor="accent3"/>
          <w:right w:val="single" w:sz="8" w:space="0" w:color="52A1AC" w:themeColor="accent3"/>
        </w:tcBorders>
      </w:tcPr>
    </w:tblStylePr>
    <w:tblStylePr w:type="band1Vert">
      <w:tblPr/>
      <w:tcPr>
        <w:tcBorders>
          <w:top w:val="single" w:sz="8" w:space="0" w:color="52A1AC" w:themeColor="accent3"/>
          <w:left w:val="single" w:sz="8" w:space="0" w:color="52A1AC" w:themeColor="accent3"/>
          <w:bottom w:val="single" w:sz="8" w:space="0" w:color="52A1AC" w:themeColor="accent3"/>
          <w:right w:val="single" w:sz="8" w:space="0" w:color="52A1AC" w:themeColor="accent3"/>
        </w:tcBorders>
        <w:shd w:val="clear" w:color="auto" w:fill="D4E7EA" w:themeFill="accent3" w:themeFillTint="3F"/>
      </w:tcPr>
    </w:tblStylePr>
    <w:tblStylePr w:type="band1Horz">
      <w:tblPr/>
      <w:tcPr>
        <w:tcBorders>
          <w:top w:val="single" w:sz="8" w:space="0" w:color="52A1AC" w:themeColor="accent3"/>
          <w:left w:val="single" w:sz="8" w:space="0" w:color="52A1AC" w:themeColor="accent3"/>
          <w:bottom w:val="single" w:sz="8" w:space="0" w:color="52A1AC" w:themeColor="accent3"/>
          <w:right w:val="single" w:sz="8" w:space="0" w:color="52A1AC" w:themeColor="accent3"/>
          <w:insideV w:val="single" w:sz="8" w:space="0" w:color="52A1AC" w:themeColor="accent3"/>
        </w:tcBorders>
        <w:shd w:val="clear" w:color="auto" w:fill="D4E7EA" w:themeFill="accent3" w:themeFillTint="3F"/>
      </w:tcPr>
    </w:tblStylePr>
    <w:tblStylePr w:type="band2Horz">
      <w:tblPr/>
      <w:tcPr>
        <w:tcBorders>
          <w:top w:val="single" w:sz="8" w:space="0" w:color="52A1AC" w:themeColor="accent3"/>
          <w:left w:val="single" w:sz="8" w:space="0" w:color="52A1AC" w:themeColor="accent3"/>
          <w:bottom w:val="single" w:sz="8" w:space="0" w:color="52A1AC" w:themeColor="accent3"/>
          <w:right w:val="single" w:sz="8" w:space="0" w:color="52A1AC" w:themeColor="accent3"/>
          <w:insideV w:val="single" w:sz="8" w:space="0" w:color="52A1AC" w:themeColor="accent3"/>
        </w:tcBorders>
      </w:tcPr>
    </w:tblStylePr>
  </w:style>
  <w:style w:type="table" w:styleId="LightGrid-Accent2">
    <w:name w:val="Light Grid Accent 2"/>
    <w:basedOn w:val="TableNormal"/>
    <w:uiPriority w:val="62"/>
    <w:rsid w:val="003345FA"/>
    <w:pPr>
      <w:spacing w:after="0" w:line="240" w:lineRule="auto"/>
    </w:pPr>
    <w:tblPr>
      <w:tblStyleRowBandSize w:val="1"/>
      <w:tblStyleColBandSize w:val="1"/>
      <w:tblInd w:w="0" w:type="dxa"/>
      <w:tblBorders>
        <w:top w:val="single" w:sz="8" w:space="0" w:color="84BCC4" w:themeColor="accent2"/>
        <w:left w:val="single" w:sz="8" w:space="0" w:color="84BCC4" w:themeColor="accent2"/>
        <w:bottom w:val="single" w:sz="8" w:space="0" w:color="84BCC4" w:themeColor="accent2"/>
        <w:right w:val="single" w:sz="8" w:space="0" w:color="84BCC4" w:themeColor="accent2"/>
        <w:insideH w:val="single" w:sz="8" w:space="0" w:color="84BCC4" w:themeColor="accent2"/>
        <w:insideV w:val="single" w:sz="8" w:space="0" w:color="84BCC4"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BCC4" w:themeColor="accent2"/>
          <w:left w:val="single" w:sz="8" w:space="0" w:color="84BCC4" w:themeColor="accent2"/>
          <w:bottom w:val="single" w:sz="18" w:space="0" w:color="84BCC4" w:themeColor="accent2"/>
          <w:right w:val="single" w:sz="8" w:space="0" w:color="84BCC4" w:themeColor="accent2"/>
          <w:insideH w:val="nil"/>
          <w:insideV w:val="single" w:sz="8" w:space="0" w:color="84BCC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CC4" w:themeColor="accent2"/>
          <w:left w:val="single" w:sz="8" w:space="0" w:color="84BCC4" w:themeColor="accent2"/>
          <w:bottom w:val="single" w:sz="8" w:space="0" w:color="84BCC4" w:themeColor="accent2"/>
          <w:right w:val="single" w:sz="8" w:space="0" w:color="84BCC4" w:themeColor="accent2"/>
          <w:insideH w:val="nil"/>
          <w:insideV w:val="single" w:sz="8" w:space="0" w:color="84BCC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CC4" w:themeColor="accent2"/>
          <w:left w:val="single" w:sz="8" w:space="0" w:color="84BCC4" w:themeColor="accent2"/>
          <w:bottom w:val="single" w:sz="8" w:space="0" w:color="84BCC4" w:themeColor="accent2"/>
          <w:right w:val="single" w:sz="8" w:space="0" w:color="84BCC4" w:themeColor="accent2"/>
        </w:tcBorders>
      </w:tcPr>
    </w:tblStylePr>
    <w:tblStylePr w:type="band1Vert">
      <w:tblPr/>
      <w:tcPr>
        <w:tcBorders>
          <w:top w:val="single" w:sz="8" w:space="0" w:color="84BCC4" w:themeColor="accent2"/>
          <w:left w:val="single" w:sz="8" w:space="0" w:color="84BCC4" w:themeColor="accent2"/>
          <w:bottom w:val="single" w:sz="8" w:space="0" w:color="84BCC4" w:themeColor="accent2"/>
          <w:right w:val="single" w:sz="8" w:space="0" w:color="84BCC4" w:themeColor="accent2"/>
        </w:tcBorders>
        <w:shd w:val="clear" w:color="auto" w:fill="E0EEF0" w:themeFill="accent2" w:themeFillTint="3F"/>
      </w:tcPr>
    </w:tblStylePr>
    <w:tblStylePr w:type="band1Horz">
      <w:tblPr/>
      <w:tcPr>
        <w:tcBorders>
          <w:top w:val="single" w:sz="8" w:space="0" w:color="84BCC4" w:themeColor="accent2"/>
          <w:left w:val="single" w:sz="8" w:space="0" w:color="84BCC4" w:themeColor="accent2"/>
          <w:bottom w:val="single" w:sz="8" w:space="0" w:color="84BCC4" w:themeColor="accent2"/>
          <w:right w:val="single" w:sz="8" w:space="0" w:color="84BCC4" w:themeColor="accent2"/>
          <w:insideV w:val="single" w:sz="8" w:space="0" w:color="84BCC4" w:themeColor="accent2"/>
        </w:tcBorders>
        <w:shd w:val="clear" w:color="auto" w:fill="E0EEF0" w:themeFill="accent2" w:themeFillTint="3F"/>
      </w:tcPr>
    </w:tblStylePr>
    <w:tblStylePr w:type="band2Horz">
      <w:tblPr/>
      <w:tcPr>
        <w:tcBorders>
          <w:top w:val="single" w:sz="8" w:space="0" w:color="84BCC4" w:themeColor="accent2"/>
          <w:left w:val="single" w:sz="8" w:space="0" w:color="84BCC4" w:themeColor="accent2"/>
          <w:bottom w:val="single" w:sz="8" w:space="0" w:color="84BCC4" w:themeColor="accent2"/>
          <w:right w:val="single" w:sz="8" w:space="0" w:color="84BCC4" w:themeColor="accent2"/>
          <w:insideV w:val="single" w:sz="8" w:space="0" w:color="84BCC4" w:themeColor="accent2"/>
        </w:tcBorders>
      </w:tcPr>
    </w:tblStylePr>
  </w:style>
  <w:style w:type="table" w:styleId="LightGrid-Accent1">
    <w:name w:val="Light Grid Accent 1"/>
    <w:basedOn w:val="TableNormal"/>
    <w:uiPriority w:val="62"/>
    <w:rsid w:val="003345FA"/>
    <w:pPr>
      <w:spacing w:after="0" w:line="240" w:lineRule="auto"/>
    </w:pPr>
    <w:tblPr>
      <w:tblStyleRowBandSize w:val="1"/>
      <w:tblStyleColBandSize w:val="1"/>
      <w:tblInd w:w="0" w:type="dxa"/>
      <w:tblBorders>
        <w:top w:val="single" w:sz="8" w:space="0" w:color="ADD2D7" w:themeColor="accent1"/>
        <w:left w:val="single" w:sz="8" w:space="0" w:color="ADD2D7" w:themeColor="accent1"/>
        <w:bottom w:val="single" w:sz="8" w:space="0" w:color="ADD2D7" w:themeColor="accent1"/>
        <w:right w:val="single" w:sz="8" w:space="0" w:color="ADD2D7" w:themeColor="accent1"/>
        <w:insideH w:val="single" w:sz="8" w:space="0" w:color="ADD2D7" w:themeColor="accent1"/>
        <w:insideV w:val="single" w:sz="8" w:space="0" w:color="ADD2D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D2D7" w:themeColor="accent1"/>
          <w:left w:val="single" w:sz="8" w:space="0" w:color="ADD2D7" w:themeColor="accent1"/>
          <w:bottom w:val="single" w:sz="18" w:space="0" w:color="ADD2D7" w:themeColor="accent1"/>
          <w:right w:val="single" w:sz="8" w:space="0" w:color="ADD2D7" w:themeColor="accent1"/>
          <w:insideH w:val="nil"/>
          <w:insideV w:val="single" w:sz="8" w:space="0" w:color="ADD2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2D7" w:themeColor="accent1"/>
          <w:left w:val="single" w:sz="8" w:space="0" w:color="ADD2D7" w:themeColor="accent1"/>
          <w:bottom w:val="single" w:sz="8" w:space="0" w:color="ADD2D7" w:themeColor="accent1"/>
          <w:right w:val="single" w:sz="8" w:space="0" w:color="ADD2D7" w:themeColor="accent1"/>
          <w:insideH w:val="nil"/>
          <w:insideV w:val="single" w:sz="8" w:space="0" w:color="ADD2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2D7" w:themeColor="accent1"/>
          <w:left w:val="single" w:sz="8" w:space="0" w:color="ADD2D7" w:themeColor="accent1"/>
          <w:bottom w:val="single" w:sz="8" w:space="0" w:color="ADD2D7" w:themeColor="accent1"/>
          <w:right w:val="single" w:sz="8" w:space="0" w:color="ADD2D7" w:themeColor="accent1"/>
        </w:tcBorders>
      </w:tcPr>
    </w:tblStylePr>
    <w:tblStylePr w:type="band1Vert">
      <w:tblPr/>
      <w:tcPr>
        <w:tcBorders>
          <w:top w:val="single" w:sz="8" w:space="0" w:color="ADD2D7" w:themeColor="accent1"/>
          <w:left w:val="single" w:sz="8" w:space="0" w:color="ADD2D7" w:themeColor="accent1"/>
          <w:bottom w:val="single" w:sz="8" w:space="0" w:color="ADD2D7" w:themeColor="accent1"/>
          <w:right w:val="single" w:sz="8" w:space="0" w:color="ADD2D7" w:themeColor="accent1"/>
        </w:tcBorders>
        <w:shd w:val="clear" w:color="auto" w:fill="EAF3F5" w:themeFill="accent1" w:themeFillTint="3F"/>
      </w:tcPr>
    </w:tblStylePr>
    <w:tblStylePr w:type="band1Horz">
      <w:tblPr/>
      <w:tcPr>
        <w:tcBorders>
          <w:top w:val="single" w:sz="8" w:space="0" w:color="ADD2D7" w:themeColor="accent1"/>
          <w:left w:val="single" w:sz="8" w:space="0" w:color="ADD2D7" w:themeColor="accent1"/>
          <w:bottom w:val="single" w:sz="8" w:space="0" w:color="ADD2D7" w:themeColor="accent1"/>
          <w:right w:val="single" w:sz="8" w:space="0" w:color="ADD2D7" w:themeColor="accent1"/>
          <w:insideV w:val="single" w:sz="8" w:space="0" w:color="ADD2D7" w:themeColor="accent1"/>
        </w:tcBorders>
        <w:shd w:val="clear" w:color="auto" w:fill="EAF3F5" w:themeFill="accent1" w:themeFillTint="3F"/>
      </w:tcPr>
    </w:tblStylePr>
    <w:tblStylePr w:type="band2Horz">
      <w:tblPr/>
      <w:tcPr>
        <w:tcBorders>
          <w:top w:val="single" w:sz="8" w:space="0" w:color="ADD2D7" w:themeColor="accent1"/>
          <w:left w:val="single" w:sz="8" w:space="0" w:color="ADD2D7" w:themeColor="accent1"/>
          <w:bottom w:val="single" w:sz="8" w:space="0" w:color="ADD2D7" w:themeColor="accent1"/>
          <w:right w:val="single" w:sz="8" w:space="0" w:color="ADD2D7" w:themeColor="accent1"/>
          <w:insideV w:val="single" w:sz="8" w:space="0" w:color="ADD2D7" w:themeColor="accent1"/>
        </w:tcBorders>
      </w:tcPr>
    </w:tblStylePr>
  </w:style>
  <w:style w:type="table" w:styleId="LightGrid-Accent4">
    <w:name w:val="Light Grid Accent 4"/>
    <w:basedOn w:val="TableNormal"/>
    <w:uiPriority w:val="62"/>
    <w:rsid w:val="003345FA"/>
    <w:pPr>
      <w:spacing w:after="0" w:line="240" w:lineRule="auto"/>
    </w:pPr>
    <w:tblPr>
      <w:tblStyleRowBandSize w:val="1"/>
      <w:tblStyleColBandSize w:val="1"/>
      <w:tblInd w:w="0" w:type="dxa"/>
      <w:tblBorders>
        <w:top w:val="single" w:sz="8" w:space="0" w:color="43848D" w:themeColor="accent4"/>
        <w:left w:val="single" w:sz="8" w:space="0" w:color="43848D" w:themeColor="accent4"/>
        <w:bottom w:val="single" w:sz="8" w:space="0" w:color="43848D" w:themeColor="accent4"/>
        <w:right w:val="single" w:sz="8" w:space="0" w:color="43848D" w:themeColor="accent4"/>
        <w:insideH w:val="single" w:sz="8" w:space="0" w:color="43848D" w:themeColor="accent4"/>
        <w:insideV w:val="single" w:sz="8" w:space="0" w:color="43848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3848D" w:themeColor="accent4"/>
          <w:left w:val="single" w:sz="8" w:space="0" w:color="43848D" w:themeColor="accent4"/>
          <w:bottom w:val="single" w:sz="18" w:space="0" w:color="43848D" w:themeColor="accent4"/>
          <w:right w:val="single" w:sz="8" w:space="0" w:color="43848D" w:themeColor="accent4"/>
          <w:insideH w:val="nil"/>
          <w:insideV w:val="single" w:sz="8" w:space="0" w:color="43848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848D" w:themeColor="accent4"/>
          <w:left w:val="single" w:sz="8" w:space="0" w:color="43848D" w:themeColor="accent4"/>
          <w:bottom w:val="single" w:sz="8" w:space="0" w:color="43848D" w:themeColor="accent4"/>
          <w:right w:val="single" w:sz="8" w:space="0" w:color="43848D" w:themeColor="accent4"/>
          <w:insideH w:val="nil"/>
          <w:insideV w:val="single" w:sz="8" w:space="0" w:color="43848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848D" w:themeColor="accent4"/>
          <w:left w:val="single" w:sz="8" w:space="0" w:color="43848D" w:themeColor="accent4"/>
          <w:bottom w:val="single" w:sz="8" w:space="0" w:color="43848D" w:themeColor="accent4"/>
          <w:right w:val="single" w:sz="8" w:space="0" w:color="43848D" w:themeColor="accent4"/>
        </w:tcBorders>
      </w:tcPr>
    </w:tblStylePr>
    <w:tblStylePr w:type="band1Vert">
      <w:tblPr/>
      <w:tcPr>
        <w:tcBorders>
          <w:top w:val="single" w:sz="8" w:space="0" w:color="43848D" w:themeColor="accent4"/>
          <w:left w:val="single" w:sz="8" w:space="0" w:color="43848D" w:themeColor="accent4"/>
          <w:bottom w:val="single" w:sz="8" w:space="0" w:color="43848D" w:themeColor="accent4"/>
          <w:right w:val="single" w:sz="8" w:space="0" w:color="43848D" w:themeColor="accent4"/>
        </w:tcBorders>
        <w:shd w:val="clear" w:color="auto" w:fill="CCE3E7" w:themeFill="accent4" w:themeFillTint="3F"/>
      </w:tcPr>
    </w:tblStylePr>
    <w:tblStylePr w:type="band1Horz">
      <w:tblPr/>
      <w:tcPr>
        <w:tcBorders>
          <w:top w:val="single" w:sz="8" w:space="0" w:color="43848D" w:themeColor="accent4"/>
          <w:left w:val="single" w:sz="8" w:space="0" w:color="43848D" w:themeColor="accent4"/>
          <w:bottom w:val="single" w:sz="8" w:space="0" w:color="43848D" w:themeColor="accent4"/>
          <w:right w:val="single" w:sz="8" w:space="0" w:color="43848D" w:themeColor="accent4"/>
          <w:insideV w:val="single" w:sz="8" w:space="0" w:color="43848D" w:themeColor="accent4"/>
        </w:tcBorders>
        <w:shd w:val="clear" w:color="auto" w:fill="CCE3E7" w:themeFill="accent4" w:themeFillTint="3F"/>
      </w:tcPr>
    </w:tblStylePr>
    <w:tblStylePr w:type="band2Horz">
      <w:tblPr/>
      <w:tcPr>
        <w:tcBorders>
          <w:top w:val="single" w:sz="8" w:space="0" w:color="43848D" w:themeColor="accent4"/>
          <w:left w:val="single" w:sz="8" w:space="0" w:color="43848D" w:themeColor="accent4"/>
          <w:bottom w:val="single" w:sz="8" w:space="0" w:color="43848D" w:themeColor="accent4"/>
          <w:right w:val="single" w:sz="8" w:space="0" w:color="43848D" w:themeColor="accent4"/>
          <w:insideV w:val="single" w:sz="8" w:space="0" w:color="43848D" w:themeColor="accent4"/>
        </w:tcBorders>
      </w:tcPr>
    </w:tblStylePr>
  </w:style>
  <w:style w:type="table" w:styleId="MediumList2-Accent4">
    <w:name w:val="Medium List 2 Accent 4"/>
    <w:basedOn w:val="TableNormal"/>
    <w:uiPriority w:val="66"/>
    <w:rsid w:val="003345FA"/>
    <w:pPr>
      <w:spacing w:after="0" w:line="240" w:lineRule="auto"/>
    </w:pPr>
    <w:rPr>
      <w:rFonts w:asciiTheme="majorHAnsi" w:eastAsiaTheme="majorEastAsia" w:hAnsiTheme="majorHAnsi" w:cstheme="majorBidi"/>
      <w:color w:val="17365D" w:themeColor="text1"/>
    </w:rPr>
    <w:tblPr>
      <w:tblStyleRowBandSize w:val="1"/>
      <w:tblStyleColBandSize w:val="1"/>
      <w:tblInd w:w="0" w:type="dxa"/>
      <w:tblBorders>
        <w:top w:val="single" w:sz="8" w:space="0" w:color="43848D" w:themeColor="accent4"/>
        <w:left w:val="single" w:sz="8" w:space="0" w:color="43848D" w:themeColor="accent4"/>
        <w:bottom w:val="single" w:sz="8" w:space="0" w:color="43848D" w:themeColor="accent4"/>
        <w:right w:val="single" w:sz="8" w:space="0" w:color="43848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3848D" w:themeColor="accent4"/>
          <w:right w:val="nil"/>
          <w:insideH w:val="nil"/>
          <w:insideV w:val="nil"/>
        </w:tcBorders>
        <w:shd w:val="clear" w:color="auto" w:fill="FFFFFF" w:themeFill="background1"/>
      </w:tcPr>
    </w:tblStylePr>
    <w:tblStylePr w:type="lastRow">
      <w:tblPr/>
      <w:tcPr>
        <w:tcBorders>
          <w:top w:val="single" w:sz="8" w:space="0" w:color="43848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848D" w:themeColor="accent4"/>
          <w:insideH w:val="nil"/>
          <w:insideV w:val="nil"/>
        </w:tcBorders>
        <w:shd w:val="clear" w:color="auto" w:fill="FFFFFF" w:themeFill="background1"/>
      </w:tcPr>
    </w:tblStylePr>
    <w:tblStylePr w:type="lastCol">
      <w:tblPr/>
      <w:tcPr>
        <w:tcBorders>
          <w:top w:val="nil"/>
          <w:left w:val="single" w:sz="8" w:space="0" w:color="43848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E7" w:themeFill="accent4" w:themeFillTint="3F"/>
      </w:tcPr>
    </w:tblStylePr>
    <w:tblStylePr w:type="band1Horz">
      <w:tblPr/>
      <w:tcPr>
        <w:tcBorders>
          <w:top w:val="nil"/>
          <w:bottom w:val="nil"/>
          <w:insideH w:val="nil"/>
          <w:insideV w:val="nil"/>
        </w:tcBorders>
        <w:shd w:val="clear" w:color="auto" w:fill="CCE3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1">
    <w:name w:val="Colorful Shading Accent 1"/>
    <w:basedOn w:val="TableNormal"/>
    <w:uiPriority w:val="71"/>
    <w:rsid w:val="009A02B9"/>
    <w:pPr>
      <w:spacing w:after="0" w:line="240" w:lineRule="auto"/>
    </w:pPr>
    <w:rPr>
      <w:color w:val="17365D" w:themeColor="text1"/>
    </w:rPr>
    <w:tblPr>
      <w:tblStyleRowBandSize w:val="1"/>
      <w:tblStyleColBandSize w:val="1"/>
      <w:tblInd w:w="0" w:type="dxa"/>
      <w:tblBorders>
        <w:top w:val="single" w:sz="24" w:space="0" w:color="84BCC4" w:themeColor="accent2"/>
        <w:left w:val="single" w:sz="4" w:space="0" w:color="ADD2D7" w:themeColor="accent1"/>
        <w:bottom w:val="single" w:sz="4" w:space="0" w:color="ADD2D7" w:themeColor="accent1"/>
        <w:right w:val="single" w:sz="4" w:space="0" w:color="ADD2D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AFB" w:themeFill="accent1" w:themeFillTint="19"/>
    </w:tcPr>
    <w:tblStylePr w:type="firstRow">
      <w:rPr>
        <w:b/>
        <w:bCs/>
      </w:rPr>
      <w:tblPr/>
      <w:tcPr>
        <w:tcBorders>
          <w:top w:val="nil"/>
          <w:left w:val="nil"/>
          <w:bottom w:val="single" w:sz="24" w:space="0" w:color="84BC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29C" w:themeFill="accent1" w:themeFillShade="99"/>
      </w:tcPr>
    </w:tblStylePr>
    <w:tblStylePr w:type="firstCol">
      <w:rPr>
        <w:color w:val="FFFFFF" w:themeColor="background1"/>
      </w:rPr>
      <w:tblPr/>
      <w:tcPr>
        <w:tcBorders>
          <w:top w:val="nil"/>
          <w:left w:val="nil"/>
          <w:bottom w:val="nil"/>
          <w:right w:val="nil"/>
          <w:insideH w:val="single" w:sz="4" w:space="0" w:color="4C929C" w:themeColor="accent1" w:themeShade="99"/>
          <w:insideV w:val="nil"/>
        </w:tcBorders>
        <w:shd w:val="clear" w:color="auto" w:fill="4C929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C929C" w:themeFill="accent1" w:themeFillShade="99"/>
      </w:tcPr>
    </w:tblStylePr>
    <w:tblStylePr w:type="band1Vert">
      <w:tblPr/>
      <w:tcPr>
        <w:shd w:val="clear" w:color="auto" w:fill="DEECEF" w:themeFill="accent1" w:themeFillTint="66"/>
      </w:tcPr>
    </w:tblStylePr>
    <w:tblStylePr w:type="band1Horz">
      <w:tblPr/>
      <w:tcPr>
        <w:shd w:val="clear" w:color="auto" w:fill="D6E8EB" w:themeFill="accent1" w:themeFillTint="7F"/>
      </w:tcPr>
    </w:tblStylePr>
    <w:tblStylePr w:type="neCell">
      <w:rPr>
        <w:color w:val="17365D" w:themeColor="text1"/>
      </w:rPr>
    </w:tblStylePr>
    <w:tblStylePr w:type="nwCell">
      <w:rPr>
        <w:color w:val="17365D" w:themeColor="text1"/>
      </w:rPr>
    </w:tblStylePr>
  </w:style>
  <w:style w:type="paragraph" w:styleId="Caption">
    <w:name w:val="caption"/>
    <w:basedOn w:val="Normal"/>
    <w:next w:val="Normal"/>
    <w:uiPriority w:val="35"/>
    <w:unhideWhenUsed/>
    <w:qFormat/>
    <w:rsid w:val="00EF66A4"/>
    <w:pPr>
      <w:keepNext/>
      <w:spacing w:after="120" w:line="240" w:lineRule="auto"/>
    </w:pPr>
    <w:rPr>
      <w:b/>
      <w:bCs/>
      <w:color w:val="6BADB7" w:themeColor="accent1" w:themeShade="BF"/>
      <w:sz w:val="18"/>
      <w:szCs w:val="18"/>
    </w:rPr>
  </w:style>
  <w:style w:type="character" w:styleId="SubtleEmphasis">
    <w:name w:val="Subtle Emphasis"/>
    <w:basedOn w:val="DefaultParagraphFont"/>
    <w:uiPriority w:val="19"/>
    <w:qFormat/>
    <w:rsid w:val="00CA211F"/>
    <w:rPr>
      <w:i/>
      <w:iCs/>
      <w:color w:val="6195D8" w:themeColor="text1" w:themeTint="7F"/>
    </w:rPr>
  </w:style>
  <w:style w:type="character" w:styleId="FollowedHyperlink">
    <w:name w:val="FollowedHyperlink"/>
    <w:basedOn w:val="DefaultParagraphFont"/>
    <w:uiPriority w:val="99"/>
    <w:semiHidden/>
    <w:unhideWhenUsed/>
    <w:rsid w:val="00C843AD"/>
    <w:rPr>
      <w:color w:val="800080" w:themeColor="followedHyperlink"/>
      <w:u w:val="single"/>
    </w:rPr>
  </w:style>
  <w:style w:type="table" w:customStyle="1" w:styleId="TableGrid1">
    <w:name w:val="Table Grid1"/>
    <w:basedOn w:val="TableNormal"/>
    <w:next w:val="TableGrid"/>
    <w:uiPriority w:val="59"/>
    <w:rsid w:val="00A77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B72CA"/>
    <w:pPr>
      <w:numPr>
        <w:ilvl w:val="1"/>
      </w:numPr>
    </w:pPr>
    <w:rPr>
      <w:rFonts w:asciiTheme="majorHAnsi" w:eastAsiaTheme="majorEastAsia" w:hAnsiTheme="majorHAnsi" w:cstheme="majorBidi"/>
      <w:i/>
      <w:iCs/>
      <w:color w:val="ADD2D7" w:themeColor="accent1"/>
      <w:spacing w:val="15"/>
      <w:sz w:val="24"/>
      <w:szCs w:val="24"/>
    </w:rPr>
  </w:style>
  <w:style w:type="character" w:customStyle="1" w:styleId="SubtitleChar">
    <w:name w:val="Subtitle Char"/>
    <w:basedOn w:val="DefaultParagraphFont"/>
    <w:link w:val="Subtitle"/>
    <w:uiPriority w:val="11"/>
    <w:rsid w:val="003B72CA"/>
    <w:rPr>
      <w:rFonts w:asciiTheme="majorHAnsi" w:eastAsiaTheme="majorEastAsia" w:hAnsiTheme="majorHAnsi" w:cstheme="majorBidi"/>
      <w:i/>
      <w:iCs/>
      <w:color w:val="ADD2D7" w:themeColor="accent1"/>
      <w:spacing w:val="15"/>
      <w:sz w:val="24"/>
      <w:szCs w:val="24"/>
    </w:rPr>
  </w:style>
  <w:style w:type="paragraph" w:styleId="TableofFigures">
    <w:name w:val="table of figures"/>
    <w:basedOn w:val="Normal"/>
    <w:next w:val="Normal"/>
    <w:uiPriority w:val="99"/>
    <w:unhideWhenUsed/>
    <w:rsid w:val="00587C0C"/>
    <w:pPr>
      <w:spacing w:after="0"/>
    </w:pPr>
    <w:rPr>
      <w:rFonts w:cstheme="minorHAnsi"/>
      <w:i/>
      <w:iCs/>
      <w:sz w:val="20"/>
      <w:szCs w:val="20"/>
    </w:rPr>
  </w:style>
  <w:style w:type="paragraph" w:styleId="CommentSubject">
    <w:name w:val="annotation subject"/>
    <w:basedOn w:val="CommentText"/>
    <w:next w:val="CommentText"/>
    <w:link w:val="CommentSubjectChar"/>
    <w:uiPriority w:val="99"/>
    <w:semiHidden/>
    <w:unhideWhenUsed/>
    <w:rsid w:val="00E13778"/>
    <w:rPr>
      <w:b/>
      <w:bCs/>
    </w:rPr>
  </w:style>
  <w:style w:type="character" w:customStyle="1" w:styleId="CommentSubjectChar">
    <w:name w:val="Comment Subject Char"/>
    <w:basedOn w:val="CommentTextChar"/>
    <w:link w:val="CommentSubject"/>
    <w:uiPriority w:val="99"/>
    <w:semiHidden/>
    <w:rsid w:val="00E13778"/>
    <w:rPr>
      <w:rFonts w:ascii="Segoe UI" w:hAnsi="Segoe UI"/>
      <w:b/>
      <w:bCs/>
      <w:sz w:val="20"/>
      <w:szCs w:val="20"/>
    </w:rPr>
  </w:style>
  <w:style w:type="paragraph" w:styleId="NormalWeb">
    <w:name w:val="Normal (Web)"/>
    <w:basedOn w:val="Normal"/>
    <w:uiPriority w:val="99"/>
    <w:unhideWhenUsed/>
    <w:rsid w:val="00BF35F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946A26"/>
  </w:style>
  <w:style w:type="table" w:styleId="PlainTable1">
    <w:name w:val="Plain Table 1"/>
    <w:basedOn w:val="TableNormal"/>
    <w:uiPriority w:val="41"/>
    <w:rsid w:val="0084422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Lapis Bulleted List Char,First Level Outline Char,Numbered List Paragraph Char,heading 6 Char,List Paragraph1 Char,Bullets Char,List Paragraph (numbered (a)) Char"/>
    <w:basedOn w:val="DefaultParagraphFont"/>
    <w:link w:val="ListParagraph"/>
    <w:uiPriority w:val="34"/>
    <w:locked/>
    <w:rsid w:val="00CD748E"/>
    <w:rPr>
      <w:rFonts w:ascii="Segoe UI" w:hAnsi="Segoe UI"/>
    </w:rPr>
  </w:style>
  <w:style w:type="paragraph" w:customStyle="1" w:styleId="Default">
    <w:name w:val="Default"/>
    <w:rsid w:val="00E50AD6"/>
    <w:pPr>
      <w:autoSpaceDE w:val="0"/>
      <w:autoSpaceDN w:val="0"/>
      <w:adjustRightInd w:val="0"/>
      <w:spacing w:after="0" w:line="240" w:lineRule="auto"/>
    </w:pPr>
    <w:rPr>
      <w:rFonts w:ascii="Segoe UI" w:hAnsi="Segoe UI" w:cs="Segoe UI"/>
      <w:color w:val="000000"/>
      <w:sz w:val="24"/>
      <w:szCs w:val="24"/>
    </w:rPr>
  </w:style>
  <w:style w:type="table" w:styleId="ListTable4-Accent2">
    <w:name w:val="List Table 4 Accent 2"/>
    <w:basedOn w:val="TableNormal"/>
    <w:uiPriority w:val="49"/>
    <w:rsid w:val="00E50990"/>
    <w:pPr>
      <w:spacing w:after="0" w:line="240" w:lineRule="auto"/>
    </w:pPr>
    <w:tblPr>
      <w:tblStyleRowBandSize w:val="1"/>
      <w:tblStyleColBandSize w:val="1"/>
      <w:tblInd w:w="0" w:type="dxa"/>
      <w:tblBorders>
        <w:top w:val="single" w:sz="4" w:space="0" w:color="B5D6DB" w:themeColor="accent2" w:themeTint="99"/>
        <w:left w:val="single" w:sz="4" w:space="0" w:color="B5D6DB" w:themeColor="accent2" w:themeTint="99"/>
        <w:bottom w:val="single" w:sz="4" w:space="0" w:color="B5D6DB" w:themeColor="accent2" w:themeTint="99"/>
        <w:right w:val="single" w:sz="4" w:space="0" w:color="B5D6DB" w:themeColor="accent2" w:themeTint="99"/>
        <w:insideH w:val="single" w:sz="4" w:space="0" w:color="B5D6D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BCC4" w:themeColor="accent2"/>
          <w:left w:val="single" w:sz="4" w:space="0" w:color="84BCC4" w:themeColor="accent2"/>
          <w:bottom w:val="single" w:sz="4" w:space="0" w:color="84BCC4" w:themeColor="accent2"/>
          <w:right w:val="single" w:sz="4" w:space="0" w:color="84BCC4" w:themeColor="accent2"/>
          <w:insideH w:val="nil"/>
        </w:tcBorders>
        <w:shd w:val="clear" w:color="auto" w:fill="84BCC4" w:themeFill="accent2"/>
      </w:tcPr>
    </w:tblStylePr>
    <w:tblStylePr w:type="lastRow">
      <w:rPr>
        <w:b/>
        <w:bCs/>
      </w:rPr>
      <w:tblPr/>
      <w:tcPr>
        <w:tcBorders>
          <w:top w:val="double" w:sz="4" w:space="0" w:color="B5D6DB" w:themeColor="accent2" w:themeTint="99"/>
        </w:tcBorders>
      </w:tcPr>
    </w:tblStylePr>
    <w:tblStylePr w:type="firstCol">
      <w:rPr>
        <w:b/>
        <w:bCs/>
      </w:rPr>
    </w:tblStylePr>
    <w:tblStylePr w:type="lastCol">
      <w:rPr>
        <w:b/>
        <w:bCs/>
      </w:rPr>
    </w:tblStylePr>
    <w:tblStylePr w:type="band1Vert">
      <w:tblPr/>
      <w:tcPr>
        <w:shd w:val="clear" w:color="auto" w:fill="E6F1F3" w:themeFill="accent2" w:themeFillTint="33"/>
      </w:tcPr>
    </w:tblStylePr>
    <w:tblStylePr w:type="band1Horz">
      <w:tblPr/>
      <w:tcPr>
        <w:shd w:val="clear" w:color="auto" w:fill="E6F1F3" w:themeFill="accent2" w:themeFillTint="33"/>
      </w:tcPr>
    </w:tblStylePr>
  </w:style>
  <w:style w:type="table" w:styleId="ListTable6Colorful">
    <w:name w:val="List Table 6 Colorful"/>
    <w:basedOn w:val="TableNormal"/>
    <w:uiPriority w:val="51"/>
    <w:rsid w:val="00E50990"/>
    <w:pPr>
      <w:spacing w:after="0" w:line="240" w:lineRule="auto"/>
    </w:pPr>
    <w:rPr>
      <w:color w:val="17365D" w:themeColor="text1"/>
    </w:rPr>
    <w:tblPr>
      <w:tblStyleRowBandSize w:val="1"/>
      <w:tblStyleColBandSize w:val="1"/>
      <w:tblInd w:w="0" w:type="dxa"/>
      <w:tblBorders>
        <w:top w:val="single" w:sz="4" w:space="0" w:color="17365D" w:themeColor="text1"/>
        <w:bottom w:val="single" w:sz="4" w:space="0" w:color="17365D" w:themeColor="text1"/>
      </w:tblBorders>
      <w:tblCellMar>
        <w:top w:w="0" w:type="dxa"/>
        <w:left w:w="108" w:type="dxa"/>
        <w:bottom w:w="0" w:type="dxa"/>
        <w:right w:w="108" w:type="dxa"/>
      </w:tblCellMar>
    </w:tblPr>
    <w:tblStylePr w:type="firstRow">
      <w:rPr>
        <w:b/>
        <w:bCs/>
      </w:rPr>
      <w:tblPr/>
      <w:tcPr>
        <w:tcBorders>
          <w:bottom w:val="single" w:sz="4" w:space="0" w:color="17365D" w:themeColor="text1"/>
        </w:tcBorders>
      </w:tcPr>
    </w:tblStylePr>
    <w:tblStylePr w:type="lastRow">
      <w:rPr>
        <w:b/>
        <w:bCs/>
      </w:rPr>
      <w:tblPr/>
      <w:tcPr>
        <w:tcBorders>
          <w:top w:val="double" w:sz="4" w:space="0" w:color="17365D" w:themeColor="text1"/>
        </w:tcBorders>
      </w:tcPr>
    </w:tblStylePr>
    <w:tblStylePr w:type="firstCol">
      <w:rPr>
        <w:b/>
        <w:bCs/>
      </w:rPr>
    </w:tblStylePr>
    <w:tblStylePr w:type="lastCol">
      <w:rPr>
        <w:b/>
        <w:bCs/>
      </w:rPr>
    </w:tblStylePr>
    <w:tblStylePr w:type="band1Vert">
      <w:tblPr/>
      <w:tcPr>
        <w:shd w:val="clear" w:color="auto" w:fill="BFD4EF" w:themeFill="text1" w:themeFillTint="33"/>
      </w:tcPr>
    </w:tblStylePr>
    <w:tblStylePr w:type="band1Horz">
      <w:tblPr/>
      <w:tcPr>
        <w:shd w:val="clear" w:color="auto" w:fill="BFD4EF" w:themeFill="text1" w:themeFillTint="33"/>
      </w:tcPr>
    </w:tblStylePr>
  </w:style>
  <w:style w:type="table" w:styleId="GridTable6Colorful">
    <w:name w:val="Grid Table 6 Colorful"/>
    <w:basedOn w:val="TableNormal"/>
    <w:uiPriority w:val="51"/>
    <w:rsid w:val="005750ED"/>
    <w:pPr>
      <w:spacing w:after="0" w:line="240" w:lineRule="auto"/>
    </w:pPr>
    <w:rPr>
      <w:color w:val="17365D" w:themeColor="text1"/>
    </w:rPr>
    <w:tblPr>
      <w:tblStyleRowBandSize w:val="1"/>
      <w:tblStyleColBandSize w:val="1"/>
      <w:tblInd w:w="0" w:type="dxa"/>
      <w:tblBorders>
        <w:top w:val="single" w:sz="4" w:space="0" w:color="417FD0" w:themeColor="text1" w:themeTint="99"/>
        <w:left w:val="single" w:sz="4" w:space="0" w:color="417FD0" w:themeColor="text1" w:themeTint="99"/>
        <w:bottom w:val="single" w:sz="4" w:space="0" w:color="417FD0" w:themeColor="text1" w:themeTint="99"/>
        <w:right w:val="single" w:sz="4" w:space="0" w:color="417FD0" w:themeColor="text1" w:themeTint="99"/>
        <w:insideH w:val="single" w:sz="4" w:space="0" w:color="417FD0" w:themeColor="text1" w:themeTint="99"/>
        <w:insideV w:val="single" w:sz="4" w:space="0" w:color="417FD0" w:themeColor="text1" w:themeTint="99"/>
      </w:tblBorders>
      <w:tblCellMar>
        <w:top w:w="0" w:type="dxa"/>
        <w:left w:w="108" w:type="dxa"/>
        <w:bottom w:w="0" w:type="dxa"/>
        <w:right w:w="108" w:type="dxa"/>
      </w:tblCellMar>
    </w:tblPr>
    <w:tblStylePr w:type="firstRow">
      <w:rPr>
        <w:b/>
        <w:bCs/>
      </w:rPr>
      <w:tblPr/>
      <w:tcPr>
        <w:tcBorders>
          <w:bottom w:val="single" w:sz="12" w:space="0" w:color="417FD0" w:themeColor="text1" w:themeTint="99"/>
        </w:tcBorders>
      </w:tcPr>
    </w:tblStylePr>
    <w:tblStylePr w:type="lastRow">
      <w:rPr>
        <w:b/>
        <w:bCs/>
      </w:rPr>
      <w:tblPr/>
      <w:tcPr>
        <w:tcBorders>
          <w:top w:val="double" w:sz="4" w:space="0" w:color="417FD0" w:themeColor="text1" w:themeTint="99"/>
        </w:tcBorders>
      </w:tcPr>
    </w:tblStylePr>
    <w:tblStylePr w:type="firstCol">
      <w:rPr>
        <w:b/>
        <w:bCs/>
      </w:rPr>
    </w:tblStylePr>
    <w:tblStylePr w:type="lastCol">
      <w:rPr>
        <w:b/>
        <w:bCs/>
      </w:rPr>
    </w:tblStylePr>
    <w:tblStylePr w:type="band1Vert">
      <w:tblPr/>
      <w:tcPr>
        <w:shd w:val="clear" w:color="auto" w:fill="BFD4EF" w:themeFill="text1" w:themeFillTint="33"/>
      </w:tcPr>
    </w:tblStylePr>
    <w:tblStylePr w:type="band1Horz">
      <w:tblPr/>
      <w:tcPr>
        <w:shd w:val="clear" w:color="auto" w:fill="BFD4EF" w:themeFill="text1" w:themeFillTint="33"/>
      </w:tcPr>
    </w:tblStylePr>
  </w:style>
  <w:style w:type="character" w:customStyle="1" w:styleId="Heading5Char">
    <w:name w:val="Heading 5 Char"/>
    <w:basedOn w:val="DefaultParagraphFont"/>
    <w:link w:val="Heading5"/>
    <w:uiPriority w:val="9"/>
    <w:rsid w:val="00F64180"/>
    <w:rPr>
      <w:rFonts w:asciiTheme="majorHAnsi" w:eastAsiaTheme="majorEastAsia" w:hAnsiTheme="majorHAnsi" w:cstheme="majorBidi"/>
      <w:color w:val="6BADB7" w:themeColor="accent1" w:themeShade="BF"/>
    </w:rPr>
  </w:style>
  <w:style w:type="table" w:styleId="GridTable2">
    <w:name w:val="Grid Table 2"/>
    <w:basedOn w:val="TableNormal"/>
    <w:uiPriority w:val="47"/>
    <w:rsid w:val="00711E11"/>
    <w:pPr>
      <w:spacing w:after="0" w:line="240" w:lineRule="auto"/>
    </w:pPr>
    <w:tblPr>
      <w:tblStyleRowBandSize w:val="1"/>
      <w:tblStyleColBandSize w:val="1"/>
      <w:tblInd w:w="0" w:type="dxa"/>
      <w:tblBorders>
        <w:top w:val="single" w:sz="2" w:space="0" w:color="417FD0" w:themeColor="text1" w:themeTint="99"/>
        <w:bottom w:val="single" w:sz="2" w:space="0" w:color="417FD0" w:themeColor="text1" w:themeTint="99"/>
        <w:insideH w:val="single" w:sz="2" w:space="0" w:color="417FD0" w:themeColor="text1" w:themeTint="99"/>
        <w:insideV w:val="single" w:sz="2" w:space="0" w:color="417FD0" w:themeColor="text1" w:themeTint="99"/>
      </w:tblBorders>
      <w:tblCellMar>
        <w:top w:w="0" w:type="dxa"/>
        <w:left w:w="108" w:type="dxa"/>
        <w:bottom w:w="0" w:type="dxa"/>
        <w:right w:w="108" w:type="dxa"/>
      </w:tblCellMar>
    </w:tblPr>
    <w:tblStylePr w:type="firstRow">
      <w:rPr>
        <w:b/>
        <w:bCs/>
      </w:rPr>
      <w:tblPr/>
      <w:tcPr>
        <w:tcBorders>
          <w:top w:val="nil"/>
          <w:bottom w:val="single" w:sz="12" w:space="0" w:color="417FD0" w:themeColor="text1" w:themeTint="99"/>
          <w:insideH w:val="nil"/>
          <w:insideV w:val="nil"/>
        </w:tcBorders>
        <w:shd w:val="clear" w:color="auto" w:fill="FFFFFF" w:themeFill="background1"/>
      </w:tcPr>
    </w:tblStylePr>
    <w:tblStylePr w:type="lastRow">
      <w:rPr>
        <w:b/>
        <w:bCs/>
      </w:rPr>
      <w:tblPr/>
      <w:tcPr>
        <w:tcBorders>
          <w:top w:val="double" w:sz="2" w:space="0" w:color="417FD0"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D4EF" w:themeFill="text1" w:themeFillTint="33"/>
      </w:tcPr>
    </w:tblStylePr>
    <w:tblStylePr w:type="band1Horz">
      <w:tblPr/>
      <w:tcPr>
        <w:shd w:val="clear" w:color="auto" w:fill="BFD4EF" w:themeFill="text1" w:themeFillTint="33"/>
      </w:tcPr>
    </w:tblStylePr>
  </w:style>
  <w:style w:type="paragraph" w:customStyle="1" w:styleId="Normal15">
    <w:name w:val="Normal_15"/>
    <w:qFormat/>
    <w:rsid w:val="00784F86"/>
    <w:pPr>
      <w:spacing w:after="160" w:line="259" w:lineRule="auto"/>
    </w:pPr>
  </w:style>
  <w:style w:type="paragraph" w:customStyle="1" w:styleId="H1NEWreportStyle">
    <w:name w:val="H1 NEW_reportStyle"/>
    <w:basedOn w:val="Heading1"/>
    <w:link w:val="H1NEWreportStyleChar"/>
    <w:qFormat/>
    <w:rsid w:val="00C75CB5"/>
    <w:pPr>
      <w:numPr>
        <w:numId w:val="23"/>
      </w:numPr>
    </w:pPr>
    <w:rPr>
      <w:rFonts w:ascii="Segoe UI" w:hAnsi="Segoe UI"/>
      <w:color w:val="407A82" w:themeColor="accent1" w:themeShade="80"/>
    </w:rPr>
  </w:style>
  <w:style w:type="character" w:customStyle="1" w:styleId="H1NEWreportStyleChar">
    <w:name w:val="H1 NEW_reportStyle Char"/>
    <w:basedOn w:val="Heading1Char"/>
    <w:link w:val="H1NEWreportStyle"/>
    <w:rsid w:val="00C75CB5"/>
    <w:rPr>
      <w:rFonts w:ascii="Segoe UI" w:eastAsiaTheme="majorEastAsia" w:hAnsi="Segoe UI" w:cs="Segoe UI"/>
      <w:b/>
      <w:bCs/>
      <w:color w:val="407A82" w:themeColor="accent1" w:themeShade="80"/>
      <w:sz w:val="28"/>
      <w:szCs w:val="28"/>
    </w:rPr>
  </w:style>
  <w:style w:type="paragraph" w:customStyle="1" w:styleId="H2NEWreportStyle">
    <w:name w:val="H2 NEW_reportStyle"/>
    <w:basedOn w:val="Heading2"/>
    <w:link w:val="H2NEWreportStyleChar"/>
    <w:qFormat/>
    <w:rsid w:val="00C75CB5"/>
    <w:pPr>
      <w:numPr>
        <w:ilvl w:val="1"/>
        <w:numId w:val="23"/>
      </w:numPr>
      <w:spacing w:before="360" w:after="240"/>
    </w:pPr>
    <w:rPr>
      <w:rFonts w:ascii="Segoe UI" w:hAnsi="Segoe UI" w:cs="Segoe UI"/>
      <w:color w:val="6BADB7" w:themeColor="accent1" w:themeShade="BF"/>
    </w:rPr>
  </w:style>
  <w:style w:type="paragraph" w:customStyle="1" w:styleId="H3NEWreportStyle">
    <w:name w:val="H3 NEW_reportStyle"/>
    <w:basedOn w:val="Heading3"/>
    <w:link w:val="H3NEWreportStyleChar"/>
    <w:qFormat/>
    <w:rsid w:val="00C75CB5"/>
    <w:pPr>
      <w:numPr>
        <w:ilvl w:val="2"/>
        <w:numId w:val="23"/>
      </w:numPr>
      <w:spacing w:after="240"/>
      <w:jc w:val="both"/>
    </w:pPr>
    <w:rPr>
      <w:rFonts w:ascii="Segoe UI" w:hAnsi="Segoe UI" w:cs="Segoe UI"/>
      <w:color w:val="84BCC4" w:themeColor="accent2"/>
      <w:sz w:val="24"/>
      <w:szCs w:val="24"/>
    </w:rPr>
  </w:style>
  <w:style w:type="character" w:customStyle="1" w:styleId="H2NEWreportStyleChar">
    <w:name w:val="H2 NEW_reportStyle Char"/>
    <w:basedOn w:val="Heading2Char"/>
    <w:link w:val="H2NEWreportStyle"/>
    <w:rsid w:val="006C3AAE"/>
    <w:rPr>
      <w:rFonts w:ascii="Segoe UI" w:eastAsiaTheme="majorEastAsia" w:hAnsi="Segoe UI" w:cs="Segoe UI"/>
      <w:b/>
      <w:bCs/>
      <w:color w:val="6BADB7" w:themeColor="accent1" w:themeShade="BF"/>
      <w:sz w:val="26"/>
      <w:szCs w:val="26"/>
    </w:rPr>
  </w:style>
  <w:style w:type="character" w:customStyle="1" w:styleId="H3NEWreportStyleChar">
    <w:name w:val="H3 NEW_reportStyle Char"/>
    <w:basedOn w:val="Heading3Char"/>
    <w:link w:val="H3NEWreportStyle"/>
    <w:rsid w:val="00B1026A"/>
    <w:rPr>
      <w:rFonts w:ascii="Segoe UI" w:eastAsiaTheme="majorEastAsia" w:hAnsi="Segoe UI" w:cs="Segoe UI"/>
      <w:b/>
      <w:bCs/>
      <w:color w:val="84BCC4" w:themeColor="accent2"/>
      <w:sz w:val="24"/>
      <w:szCs w:val="24"/>
    </w:rPr>
  </w:style>
  <w:style w:type="paragraph" w:customStyle="1" w:styleId="H4NEWreportStyle">
    <w:name w:val="H4 NEW_reportStyle"/>
    <w:basedOn w:val="Normal"/>
    <w:link w:val="H4NEWreportStyleChar"/>
    <w:qFormat/>
    <w:rsid w:val="00C75CB5"/>
    <w:pPr>
      <w:numPr>
        <w:ilvl w:val="3"/>
        <w:numId w:val="23"/>
      </w:numPr>
      <w:spacing w:before="360"/>
      <w:jc w:val="both"/>
    </w:pPr>
    <w:rPr>
      <w:rFonts w:cs="Segoe UI"/>
      <w:b/>
      <w:i/>
    </w:rPr>
  </w:style>
  <w:style w:type="numbering" w:customStyle="1" w:styleId="NEWreportListStyle">
    <w:name w:val="NEW_reportListStyle"/>
    <w:uiPriority w:val="99"/>
    <w:rsid w:val="00C75CB5"/>
    <w:pPr>
      <w:numPr>
        <w:numId w:val="23"/>
      </w:numPr>
    </w:pPr>
  </w:style>
  <w:style w:type="character" w:customStyle="1" w:styleId="H4NEWreportStyleChar">
    <w:name w:val="H4 NEW_reportStyle Char"/>
    <w:basedOn w:val="DefaultParagraphFont"/>
    <w:link w:val="H4NEWreportStyle"/>
    <w:rsid w:val="007111CA"/>
    <w:rPr>
      <w:rFonts w:ascii="Segoe UI" w:hAnsi="Segoe UI" w:cs="Segoe UI"/>
      <w:b/>
      <w:i/>
    </w:rPr>
  </w:style>
  <w:style w:type="character" w:customStyle="1" w:styleId="FootnoteTextChar1">
    <w:name w:val="Footnote Text Char1"/>
    <w:aliases w:val="fn Char,single space Char,footnote text Char,FOOTNOTES Char,Footnote Text Char Char Char Char Char Char Char,Footnote Char,Fußnote Char,FSR footnote Char,lábléc Char,Footnote Text Char2 Char Char,Footnote Text Char1 Char Char Char"/>
    <w:basedOn w:val="DefaultParagraphFont"/>
    <w:uiPriority w:val="99"/>
    <w:rsid w:val="00586942"/>
    <w:rPr>
      <w:rFonts w:ascii="Times New Roman" w:eastAsia="SimSun" w:hAnsi="Times New Roman" w:cs="Times New Roman"/>
      <w:sz w:val="20"/>
      <w:szCs w:val="20"/>
      <w:lang w:eastAsia="zh-CN"/>
    </w:rPr>
  </w:style>
  <w:style w:type="paragraph" w:customStyle="1" w:styleId="BVIfnrCarCarCarCarChar">
    <w:name w:val="BVI fnr Car Car Car Car Char"/>
    <w:basedOn w:val="Normal"/>
    <w:link w:val="FootnoteReference"/>
    <w:uiPriority w:val="99"/>
    <w:rsid w:val="00586942"/>
    <w:pPr>
      <w:spacing w:after="160" w:line="240" w:lineRule="exact"/>
    </w:pPr>
    <w:rPr>
      <w:rFonts w:asciiTheme="minorHAnsi" w:hAnsiTheme="minorHAnsi"/>
      <w:vertAlign w:val="superscript"/>
    </w:rPr>
  </w:style>
  <w:style w:type="table" w:styleId="GridTable4-Accent1">
    <w:name w:val="Grid Table 4 Accent 1"/>
    <w:basedOn w:val="TableNormal"/>
    <w:uiPriority w:val="49"/>
    <w:rsid w:val="00586942"/>
    <w:pPr>
      <w:spacing w:after="0" w:line="240" w:lineRule="auto"/>
    </w:pPr>
    <w:tblPr>
      <w:tblStyleRowBandSize w:val="1"/>
      <w:tblStyleColBandSize w:val="1"/>
      <w:tblInd w:w="0" w:type="dxa"/>
      <w:tblBorders>
        <w:top w:val="single" w:sz="4" w:space="0" w:color="CDE3E7" w:themeColor="accent1" w:themeTint="99"/>
        <w:left w:val="single" w:sz="4" w:space="0" w:color="CDE3E7" w:themeColor="accent1" w:themeTint="99"/>
        <w:bottom w:val="single" w:sz="4" w:space="0" w:color="CDE3E7" w:themeColor="accent1" w:themeTint="99"/>
        <w:right w:val="single" w:sz="4" w:space="0" w:color="CDE3E7" w:themeColor="accent1" w:themeTint="99"/>
        <w:insideH w:val="single" w:sz="4" w:space="0" w:color="CDE3E7" w:themeColor="accent1" w:themeTint="99"/>
        <w:insideV w:val="single" w:sz="4" w:space="0" w:color="CDE3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DD2D7" w:themeColor="accent1"/>
          <w:left w:val="single" w:sz="4" w:space="0" w:color="ADD2D7" w:themeColor="accent1"/>
          <w:bottom w:val="single" w:sz="4" w:space="0" w:color="ADD2D7" w:themeColor="accent1"/>
          <w:right w:val="single" w:sz="4" w:space="0" w:color="ADD2D7" w:themeColor="accent1"/>
          <w:insideH w:val="nil"/>
          <w:insideV w:val="nil"/>
        </w:tcBorders>
        <w:shd w:val="clear" w:color="auto" w:fill="ADD2D7" w:themeFill="accent1"/>
      </w:tcPr>
    </w:tblStylePr>
    <w:tblStylePr w:type="lastRow">
      <w:rPr>
        <w:b/>
        <w:bCs/>
      </w:rPr>
      <w:tblPr/>
      <w:tcPr>
        <w:tcBorders>
          <w:top w:val="double" w:sz="4" w:space="0" w:color="ADD2D7" w:themeColor="accent1"/>
        </w:tcBorders>
      </w:tcPr>
    </w:tblStylePr>
    <w:tblStylePr w:type="firstCol">
      <w:rPr>
        <w:b/>
        <w:bCs/>
      </w:rPr>
    </w:tblStylePr>
    <w:tblStylePr w:type="lastCol">
      <w:rPr>
        <w:b/>
        <w:bCs/>
      </w:rPr>
    </w:tblStylePr>
    <w:tblStylePr w:type="band1Vert">
      <w:tblPr/>
      <w:tcPr>
        <w:shd w:val="clear" w:color="auto" w:fill="EEF5F7" w:themeFill="accent1" w:themeFillTint="33"/>
      </w:tcPr>
    </w:tblStylePr>
    <w:tblStylePr w:type="band1Horz">
      <w:tblPr/>
      <w:tcPr>
        <w:shd w:val="clear" w:color="auto" w:fill="EEF5F7" w:themeFill="accent1" w:themeFillTint="33"/>
      </w:tcPr>
    </w:tblStylePr>
  </w:style>
  <w:style w:type="paragraph" w:customStyle="1" w:styleId="Outline">
    <w:name w:val="Outline"/>
    <w:basedOn w:val="Normal"/>
    <w:rsid w:val="00143727"/>
    <w:pPr>
      <w:spacing w:before="240" w:after="0" w:line="240" w:lineRule="auto"/>
    </w:pPr>
    <w:rPr>
      <w:rFonts w:ascii="Times New Roman" w:eastAsia="Times New Roman" w:hAnsi="Times New Roman" w:cs="Times New Roman"/>
      <w:kern w:val="28"/>
      <w:sz w:val="24"/>
      <w:szCs w:val="20"/>
    </w:rPr>
  </w:style>
  <w:style w:type="character" w:customStyle="1" w:styleId="ans">
    <w:name w:val="ans"/>
    <w:basedOn w:val="DefaultParagraphFont"/>
    <w:rsid w:val="00C06F68"/>
  </w:style>
  <w:style w:type="character" w:customStyle="1" w:styleId="sub-quest">
    <w:name w:val="sub-quest"/>
    <w:basedOn w:val="DefaultParagraphFont"/>
    <w:rsid w:val="00C0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3877">
      <w:bodyDiv w:val="1"/>
      <w:marLeft w:val="0"/>
      <w:marRight w:val="0"/>
      <w:marTop w:val="0"/>
      <w:marBottom w:val="0"/>
      <w:divBdr>
        <w:top w:val="none" w:sz="0" w:space="0" w:color="auto"/>
        <w:left w:val="none" w:sz="0" w:space="0" w:color="auto"/>
        <w:bottom w:val="none" w:sz="0" w:space="0" w:color="auto"/>
        <w:right w:val="none" w:sz="0" w:space="0" w:color="auto"/>
      </w:divBdr>
      <w:divsChild>
        <w:div w:id="338578950">
          <w:marLeft w:val="634"/>
          <w:marRight w:val="0"/>
          <w:marTop w:val="0"/>
          <w:marBottom w:val="120"/>
          <w:divBdr>
            <w:top w:val="none" w:sz="0" w:space="0" w:color="auto"/>
            <w:left w:val="none" w:sz="0" w:space="0" w:color="auto"/>
            <w:bottom w:val="none" w:sz="0" w:space="0" w:color="auto"/>
            <w:right w:val="none" w:sz="0" w:space="0" w:color="auto"/>
          </w:divBdr>
        </w:div>
        <w:div w:id="882981536">
          <w:marLeft w:val="979"/>
          <w:marRight w:val="0"/>
          <w:marTop w:val="0"/>
          <w:marBottom w:val="120"/>
          <w:divBdr>
            <w:top w:val="none" w:sz="0" w:space="0" w:color="auto"/>
            <w:left w:val="none" w:sz="0" w:space="0" w:color="auto"/>
            <w:bottom w:val="none" w:sz="0" w:space="0" w:color="auto"/>
            <w:right w:val="none" w:sz="0" w:space="0" w:color="auto"/>
          </w:divBdr>
        </w:div>
        <w:div w:id="944843866">
          <w:marLeft w:val="634"/>
          <w:marRight w:val="0"/>
          <w:marTop w:val="0"/>
          <w:marBottom w:val="120"/>
          <w:divBdr>
            <w:top w:val="none" w:sz="0" w:space="0" w:color="auto"/>
            <w:left w:val="none" w:sz="0" w:space="0" w:color="auto"/>
            <w:bottom w:val="none" w:sz="0" w:space="0" w:color="auto"/>
            <w:right w:val="none" w:sz="0" w:space="0" w:color="auto"/>
          </w:divBdr>
        </w:div>
        <w:div w:id="1036468610">
          <w:marLeft w:val="979"/>
          <w:marRight w:val="0"/>
          <w:marTop w:val="0"/>
          <w:marBottom w:val="120"/>
          <w:divBdr>
            <w:top w:val="none" w:sz="0" w:space="0" w:color="auto"/>
            <w:left w:val="none" w:sz="0" w:space="0" w:color="auto"/>
            <w:bottom w:val="none" w:sz="0" w:space="0" w:color="auto"/>
            <w:right w:val="none" w:sz="0" w:space="0" w:color="auto"/>
          </w:divBdr>
        </w:div>
        <w:div w:id="1252739907">
          <w:marLeft w:val="634"/>
          <w:marRight w:val="0"/>
          <w:marTop w:val="0"/>
          <w:marBottom w:val="120"/>
          <w:divBdr>
            <w:top w:val="none" w:sz="0" w:space="0" w:color="auto"/>
            <w:left w:val="none" w:sz="0" w:space="0" w:color="auto"/>
            <w:bottom w:val="none" w:sz="0" w:space="0" w:color="auto"/>
            <w:right w:val="none" w:sz="0" w:space="0" w:color="auto"/>
          </w:divBdr>
        </w:div>
        <w:div w:id="1282149315">
          <w:marLeft w:val="634"/>
          <w:marRight w:val="0"/>
          <w:marTop w:val="0"/>
          <w:marBottom w:val="120"/>
          <w:divBdr>
            <w:top w:val="none" w:sz="0" w:space="0" w:color="auto"/>
            <w:left w:val="none" w:sz="0" w:space="0" w:color="auto"/>
            <w:bottom w:val="none" w:sz="0" w:space="0" w:color="auto"/>
            <w:right w:val="none" w:sz="0" w:space="0" w:color="auto"/>
          </w:divBdr>
        </w:div>
        <w:div w:id="1546137076">
          <w:marLeft w:val="979"/>
          <w:marRight w:val="0"/>
          <w:marTop w:val="0"/>
          <w:marBottom w:val="120"/>
          <w:divBdr>
            <w:top w:val="none" w:sz="0" w:space="0" w:color="auto"/>
            <w:left w:val="none" w:sz="0" w:space="0" w:color="auto"/>
            <w:bottom w:val="none" w:sz="0" w:space="0" w:color="auto"/>
            <w:right w:val="none" w:sz="0" w:space="0" w:color="auto"/>
          </w:divBdr>
        </w:div>
        <w:div w:id="1957565247">
          <w:marLeft w:val="634"/>
          <w:marRight w:val="0"/>
          <w:marTop w:val="0"/>
          <w:marBottom w:val="120"/>
          <w:divBdr>
            <w:top w:val="none" w:sz="0" w:space="0" w:color="auto"/>
            <w:left w:val="none" w:sz="0" w:space="0" w:color="auto"/>
            <w:bottom w:val="none" w:sz="0" w:space="0" w:color="auto"/>
            <w:right w:val="none" w:sz="0" w:space="0" w:color="auto"/>
          </w:divBdr>
        </w:div>
      </w:divsChild>
    </w:div>
    <w:div w:id="73557304">
      <w:bodyDiv w:val="1"/>
      <w:marLeft w:val="0"/>
      <w:marRight w:val="0"/>
      <w:marTop w:val="0"/>
      <w:marBottom w:val="0"/>
      <w:divBdr>
        <w:top w:val="none" w:sz="0" w:space="0" w:color="auto"/>
        <w:left w:val="none" w:sz="0" w:space="0" w:color="auto"/>
        <w:bottom w:val="none" w:sz="0" w:space="0" w:color="auto"/>
        <w:right w:val="none" w:sz="0" w:space="0" w:color="auto"/>
      </w:divBdr>
    </w:div>
    <w:div w:id="87848874">
      <w:bodyDiv w:val="1"/>
      <w:marLeft w:val="0"/>
      <w:marRight w:val="0"/>
      <w:marTop w:val="0"/>
      <w:marBottom w:val="0"/>
      <w:divBdr>
        <w:top w:val="none" w:sz="0" w:space="0" w:color="auto"/>
        <w:left w:val="none" w:sz="0" w:space="0" w:color="auto"/>
        <w:bottom w:val="none" w:sz="0" w:space="0" w:color="auto"/>
        <w:right w:val="none" w:sz="0" w:space="0" w:color="auto"/>
      </w:divBdr>
      <w:divsChild>
        <w:div w:id="12269433">
          <w:marLeft w:val="634"/>
          <w:marRight w:val="0"/>
          <w:marTop w:val="0"/>
          <w:marBottom w:val="120"/>
          <w:divBdr>
            <w:top w:val="none" w:sz="0" w:space="0" w:color="auto"/>
            <w:left w:val="none" w:sz="0" w:space="0" w:color="auto"/>
            <w:bottom w:val="none" w:sz="0" w:space="0" w:color="auto"/>
            <w:right w:val="none" w:sz="0" w:space="0" w:color="auto"/>
          </w:divBdr>
        </w:div>
        <w:div w:id="216357210">
          <w:marLeft w:val="634"/>
          <w:marRight w:val="0"/>
          <w:marTop w:val="0"/>
          <w:marBottom w:val="120"/>
          <w:divBdr>
            <w:top w:val="none" w:sz="0" w:space="0" w:color="auto"/>
            <w:left w:val="none" w:sz="0" w:space="0" w:color="auto"/>
            <w:bottom w:val="none" w:sz="0" w:space="0" w:color="auto"/>
            <w:right w:val="none" w:sz="0" w:space="0" w:color="auto"/>
          </w:divBdr>
        </w:div>
        <w:div w:id="1231040372">
          <w:marLeft w:val="634"/>
          <w:marRight w:val="0"/>
          <w:marTop w:val="0"/>
          <w:marBottom w:val="120"/>
          <w:divBdr>
            <w:top w:val="none" w:sz="0" w:space="0" w:color="auto"/>
            <w:left w:val="none" w:sz="0" w:space="0" w:color="auto"/>
            <w:bottom w:val="none" w:sz="0" w:space="0" w:color="auto"/>
            <w:right w:val="none" w:sz="0" w:space="0" w:color="auto"/>
          </w:divBdr>
        </w:div>
        <w:div w:id="1422491074">
          <w:marLeft w:val="634"/>
          <w:marRight w:val="0"/>
          <w:marTop w:val="0"/>
          <w:marBottom w:val="120"/>
          <w:divBdr>
            <w:top w:val="none" w:sz="0" w:space="0" w:color="auto"/>
            <w:left w:val="none" w:sz="0" w:space="0" w:color="auto"/>
            <w:bottom w:val="none" w:sz="0" w:space="0" w:color="auto"/>
            <w:right w:val="none" w:sz="0" w:space="0" w:color="auto"/>
          </w:divBdr>
        </w:div>
        <w:div w:id="2104371573">
          <w:marLeft w:val="634"/>
          <w:marRight w:val="0"/>
          <w:marTop w:val="0"/>
          <w:marBottom w:val="120"/>
          <w:divBdr>
            <w:top w:val="none" w:sz="0" w:space="0" w:color="auto"/>
            <w:left w:val="none" w:sz="0" w:space="0" w:color="auto"/>
            <w:bottom w:val="none" w:sz="0" w:space="0" w:color="auto"/>
            <w:right w:val="none" w:sz="0" w:space="0" w:color="auto"/>
          </w:divBdr>
        </w:div>
      </w:divsChild>
    </w:div>
    <w:div w:id="196893826">
      <w:bodyDiv w:val="1"/>
      <w:marLeft w:val="0"/>
      <w:marRight w:val="0"/>
      <w:marTop w:val="0"/>
      <w:marBottom w:val="0"/>
      <w:divBdr>
        <w:top w:val="none" w:sz="0" w:space="0" w:color="auto"/>
        <w:left w:val="none" w:sz="0" w:space="0" w:color="auto"/>
        <w:bottom w:val="none" w:sz="0" w:space="0" w:color="auto"/>
        <w:right w:val="none" w:sz="0" w:space="0" w:color="auto"/>
      </w:divBdr>
      <w:divsChild>
        <w:div w:id="713962213">
          <w:marLeft w:val="1210"/>
          <w:marRight w:val="0"/>
          <w:marTop w:val="0"/>
          <w:marBottom w:val="0"/>
          <w:divBdr>
            <w:top w:val="none" w:sz="0" w:space="0" w:color="auto"/>
            <w:left w:val="none" w:sz="0" w:space="0" w:color="auto"/>
            <w:bottom w:val="none" w:sz="0" w:space="0" w:color="auto"/>
            <w:right w:val="none" w:sz="0" w:space="0" w:color="auto"/>
          </w:divBdr>
        </w:div>
        <w:div w:id="1128007116">
          <w:marLeft w:val="1210"/>
          <w:marRight w:val="0"/>
          <w:marTop w:val="0"/>
          <w:marBottom w:val="0"/>
          <w:divBdr>
            <w:top w:val="none" w:sz="0" w:space="0" w:color="auto"/>
            <w:left w:val="none" w:sz="0" w:space="0" w:color="auto"/>
            <w:bottom w:val="none" w:sz="0" w:space="0" w:color="auto"/>
            <w:right w:val="none" w:sz="0" w:space="0" w:color="auto"/>
          </w:divBdr>
        </w:div>
        <w:div w:id="1415055074">
          <w:marLeft w:val="1210"/>
          <w:marRight w:val="0"/>
          <w:marTop w:val="0"/>
          <w:marBottom w:val="0"/>
          <w:divBdr>
            <w:top w:val="none" w:sz="0" w:space="0" w:color="auto"/>
            <w:left w:val="none" w:sz="0" w:space="0" w:color="auto"/>
            <w:bottom w:val="none" w:sz="0" w:space="0" w:color="auto"/>
            <w:right w:val="none" w:sz="0" w:space="0" w:color="auto"/>
          </w:divBdr>
        </w:div>
        <w:div w:id="1734741228">
          <w:marLeft w:val="1210"/>
          <w:marRight w:val="0"/>
          <w:marTop w:val="0"/>
          <w:marBottom w:val="0"/>
          <w:divBdr>
            <w:top w:val="none" w:sz="0" w:space="0" w:color="auto"/>
            <w:left w:val="none" w:sz="0" w:space="0" w:color="auto"/>
            <w:bottom w:val="none" w:sz="0" w:space="0" w:color="auto"/>
            <w:right w:val="none" w:sz="0" w:space="0" w:color="auto"/>
          </w:divBdr>
        </w:div>
      </w:divsChild>
    </w:div>
    <w:div w:id="332534061">
      <w:bodyDiv w:val="1"/>
      <w:marLeft w:val="0"/>
      <w:marRight w:val="0"/>
      <w:marTop w:val="0"/>
      <w:marBottom w:val="0"/>
      <w:divBdr>
        <w:top w:val="none" w:sz="0" w:space="0" w:color="auto"/>
        <w:left w:val="none" w:sz="0" w:space="0" w:color="auto"/>
        <w:bottom w:val="none" w:sz="0" w:space="0" w:color="auto"/>
        <w:right w:val="none" w:sz="0" w:space="0" w:color="auto"/>
      </w:divBdr>
    </w:div>
    <w:div w:id="401097360">
      <w:bodyDiv w:val="1"/>
      <w:marLeft w:val="0"/>
      <w:marRight w:val="0"/>
      <w:marTop w:val="0"/>
      <w:marBottom w:val="0"/>
      <w:divBdr>
        <w:top w:val="none" w:sz="0" w:space="0" w:color="auto"/>
        <w:left w:val="none" w:sz="0" w:space="0" w:color="auto"/>
        <w:bottom w:val="none" w:sz="0" w:space="0" w:color="auto"/>
        <w:right w:val="none" w:sz="0" w:space="0" w:color="auto"/>
      </w:divBdr>
      <w:divsChild>
        <w:div w:id="244917171">
          <w:marLeft w:val="677"/>
          <w:marRight w:val="0"/>
          <w:marTop w:val="77"/>
          <w:marBottom w:val="0"/>
          <w:divBdr>
            <w:top w:val="none" w:sz="0" w:space="0" w:color="auto"/>
            <w:left w:val="none" w:sz="0" w:space="0" w:color="auto"/>
            <w:bottom w:val="none" w:sz="0" w:space="0" w:color="auto"/>
            <w:right w:val="none" w:sz="0" w:space="0" w:color="auto"/>
          </w:divBdr>
        </w:div>
      </w:divsChild>
    </w:div>
    <w:div w:id="465052133">
      <w:bodyDiv w:val="1"/>
      <w:marLeft w:val="0"/>
      <w:marRight w:val="0"/>
      <w:marTop w:val="0"/>
      <w:marBottom w:val="0"/>
      <w:divBdr>
        <w:top w:val="none" w:sz="0" w:space="0" w:color="auto"/>
        <w:left w:val="none" w:sz="0" w:space="0" w:color="auto"/>
        <w:bottom w:val="none" w:sz="0" w:space="0" w:color="auto"/>
        <w:right w:val="none" w:sz="0" w:space="0" w:color="auto"/>
      </w:divBdr>
    </w:div>
    <w:div w:id="508835485">
      <w:bodyDiv w:val="1"/>
      <w:marLeft w:val="0"/>
      <w:marRight w:val="0"/>
      <w:marTop w:val="0"/>
      <w:marBottom w:val="0"/>
      <w:divBdr>
        <w:top w:val="none" w:sz="0" w:space="0" w:color="auto"/>
        <w:left w:val="none" w:sz="0" w:space="0" w:color="auto"/>
        <w:bottom w:val="none" w:sz="0" w:space="0" w:color="auto"/>
        <w:right w:val="none" w:sz="0" w:space="0" w:color="auto"/>
      </w:divBdr>
      <w:divsChild>
        <w:div w:id="85614473">
          <w:marLeft w:val="677"/>
          <w:marRight w:val="0"/>
          <w:marTop w:val="67"/>
          <w:marBottom w:val="0"/>
          <w:divBdr>
            <w:top w:val="none" w:sz="0" w:space="0" w:color="auto"/>
            <w:left w:val="none" w:sz="0" w:space="0" w:color="auto"/>
            <w:bottom w:val="none" w:sz="0" w:space="0" w:color="auto"/>
            <w:right w:val="none" w:sz="0" w:space="0" w:color="auto"/>
          </w:divBdr>
        </w:div>
        <w:div w:id="348533000">
          <w:marLeft w:val="677"/>
          <w:marRight w:val="0"/>
          <w:marTop w:val="67"/>
          <w:marBottom w:val="0"/>
          <w:divBdr>
            <w:top w:val="none" w:sz="0" w:space="0" w:color="auto"/>
            <w:left w:val="none" w:sz="0" w:space="0" w:color="auto"/>
            <w:bottom w:val="none" w:sz="0" w:space="0" w:color="auto"/>
            <w:right w:val="none" w:sz="0" w:space="0" w:color="auto"/>
          </w:divBdr>
        </w:div>
        <w:div w:id="407578407">
          <w:marLeft w:val="677"/>
          <w:marRight w:val="0"/>
          <w:marTop w:val="67"/>
          <w:marBottom w:val="0"/>
          <w:divBdr>
            <w:top w:val="none" w:sz="0" w:space="0" w:color="auto"/>
            <w:left w:val="none" w:sz="0" w:space="0" w:color="auto"/>
            <w:bottom w:val="none" w:sz="0" w:space="0" w:color="auto"/>
            <w:right w:val="none" w:sz="0" w:space="0" w:color="auto"/>
          </w:divBdr>
        </w:div>
        <w:div w:id="1198273220">
          <w:marLeft w:val="677"/>
          <w:marRight w:val="0"/>
          <w:marTop w:val="67"/>
          <w:marBottom w:val="0"/>
          <w:divBdr>
            <w:top w:val="none" w:sz="0" w:space="0" w:color="auto"/>
            <w:left w:val="none" w:sz="0" w:space="0" w:color="auto"/>
            <w:bottom w:val="none" w:sz="0" w:space="0" w:color="auto"/>
            <w:right w:val="none" w:sz="0" w:space="0" w:color="auto"/>
          </w:divBdr>
        </w:div>
      </w:divsChild>
    </w:div>
    <w:div w:id="604927148">
      <w:bodyDiv w:val="1"/>
      <w:marLeft w:val="0"/>
      <w:marRight w:val="0"/>
      <w:marTop w:val="0"/>
      <w:marBottom w:val="0"/>
      <w:divBdr>
        <w:top w:val="none" w:sz="0" w:space="0" w:color="auto"/>
        <w:left w:val="none" w:sz="0" w:space="0" w:color="auto"/>
        <w:bottom w:val="none" w:sz="0" w:space="0" w:color="auto"/>
        <w:right w:val="none" w:sz="0" w:space="0" w:color="auto"/>
      </w:divBdr>
    </w:div>
    <w:div w:id="841972699">
      <w:bodyDiv w:val="1"/>
      <w:marLeft w:val="0"/>
      <w:marRight w:val="0"/>
      <w:marTop w:val="0"/>
      <w:marBottom w:val="0"/>
      <w:divBdr>
        <w:top w:val="none" w:sz="0" w:space="0" w:color="auto"/>
        <w:left w:val="none" w:sz="0" w:space="0" w:color="auto"/>
        <w:bottom w:val="none" w:sz="0" w:space="0" w:color="auto"/>
        <w:right w:val="none" w:sz="0" w:space="0" w:color="auto"/>
      </w:divBdr>
      <w:divsChild>
        <w:div w:id="443380822">
          <w:marLeft w:val="1325"/>
          <w:marRight w:val="0"/>
          <w:marTop w:val="67"/>
          <w:marBottom w:val="0"/>
          <w:divBdr>
            <w:top w:val="none" w:sz="0" w:space="0" w:color="auto"/>
            <w:left w:val="none" w:sz="0" w:space="0" w:color="auto"/>
            <w:bottom w:val="none" w:sz="0" w:space="0" w:color="auto"/>
            <w:right w:val="none" w:sz="0" w:space="0" w:color="auto"/>
          </w:divBdr>
        </w:div>
        <w:div w:id="643193757">
          <w:marLeft w:val="677"/>
          <w:marRight w:val="0"/>
          <w:marTop w:val="67"/>
          <w:marBottom w:val="0"/>
          <w:divBdr>
            <w:top w:val="none" w:sz="0" w:space="0" w:color="auto"/>
            <w:left w:val="none" w:sz="0" w:space="0" w:color="auto"/>
            <w:bottom w:val="none" w:sz="0" w:space="0" w:color="auto"/>
            <w:right w:val="none" w:sz="0" w:space="0" w:color="auto"/>
          </w:divBdr>
        </w:div>
        <w:div w:id="751241369">
          <w:marLeft w:val="677"/>
          <w:marRight w:val="0"/>
          <w:marTop w:val="67"/>
          <w:marBottom w:val="0"/>
          <w:divBdr>
            <w:top w:val="none" w:sz="0" w:space="0" w:color="auto"/>
            <w:left w:val="none" w:sz="0" w:space="0" w:color="auto"/>
            <w:bottom w:val="none" w:sz="0" w:space="0" w:color="auto"/>
            <w:right w:val="none" w:sz="0" w:space="0" w:color="auto"/>
          </w:divBdr>
        </w:div>
        <w:div w:id="1137837458">
          <w:marLeft w:val="677"/>
          <w:marRight w:val="0"/>
          <w:marTop w:val="67"/>
          <w:marBottom w:val="0"/>
          <w:divBdr>
            <w:top w:val="none" w:sz="0" w:space="0" w:color="auto"/>
            <w:left w:val="none" w:sz="0" w:space="0" w:color="auto"/>
            <w:bottom w:val="none" w:sz="0" w:space="0" w:color="auto"/>
            <w:right w:val="none" w:sz="0" w:space="0" w:color="auto"/>
          </w:divBdr>
        </w:div>
        <w:div w:id="1255164183">
          <w:marLeft w:val="1325"/>
          <w:marRight w:val="0"/>
          <w:marTop w:val="67"/>
          <w:marBottom w:val="0"/>
          <w:divBdr>
            <w:top w:val="none" w:sz="0" w:space="0" w:color="auto"/>
            <w:left w:val="none" w:sz="0" w:space="0" w:color="auto"/>
            <w:bottom w:val="none" w:sz="0" w:space="0" w:color="auto"/>
            <w:right w:val="none" w:sz="0" w:space="0" w:color="auto"/>
          </w:divBdr>
        </w:div>
        <w:div w:id="2079548287">
          <w:marLeft w:val="677"/>
          <w:marRight w:val="0"/>
          <w:marTop w:val="67"/>
          <w:marBottom w:val="0"/>
          <w:divBdr>
            <w:top w:val="none" w:sz="0" w:space="0" w:color="auto"/>
            <w:left w:val="none" w:sz="0" w:space="0" w:color="auto"/>
            <w:bottom w:val="none" w:sz="0" w:space="0" w:color="auto"/>
            <w:right w:val="none" w:sz="0" w:space="0" w:color="auto"/>
          </w:divBdr>
        </w:div>
        <w:div w:id="2118480869">
          <w:marLeft w:val="677"/>
          <w:marRight w:val="0"/>
          <w:marTop w:val="67"/>
          <w:marBottom w:val="0"/>
          <w:divBdr>
            <w:top w:val="none" w:sz="0" w:space="0" w:color="auto"/>
            <w:left w:val="none" w:sz="0" w:space="0" w:color="auto"/>
            <w:bottom w:val="none" w:sz="0" w:space="0" w:color="auto"/>
            <w:right w:val="none" w:sz="0" w:space="0" w:color="auto"/>
          </w:divBdr>
        </w:div>
      </w:divsChild>
    </w:div>
    <w:div w:id="896429758">
      <w:bodyDiv w:val="1"/>
      <w:marLeft w:val="0"/>
      <w:marRight w:val="0"/>
      <w:marTop w:val="0"/>
      <w:marBottom w:val="0"/>
      <w:divBdr>
        <w:top w:val="none" w:sz="0" w:space="0" w:color="auto"/>
        <w:left w:val="none" w:sz="0" w:space="0" w:color="auto"/>
        <w:bottom w:val="none" w:sz="0" w:space="0" w:color="auto"/>
        <w:right w:val="none" w:sz="0" w:space="0" w:color="auto"/>
      </w:divBdr>
    </w:div>
    <w:div w:id="932855087">
      <w:bodyDiv w:val="1"/>
      <w:marLeft w:val="0"/>
      <w:marRight w:val="0"/>
      <w:marTop w:val="0"/>
      <w:marBottom w:val="0"/>
      <w:divBdr>
        <w:top w:val="none" w:sz="0" w:space="0" w:color="auto"/>
        <w:left w:val="none" w:sz="0" w:space="0" w:color="auto"/>
        <w:bottom w:val="none" w:sz="0" w:space="0" w:color="auto"/>
        <w:right w:val="none" w:sz="0" w:space="0" w:color="auto"/>
      </w:divBdr>
      <w:divsChild>
        <w:div w:id="44302450">
          <w:marLeft w:val="677"/>
          <w:marRight w:val="0"/>
          <w:marTop w:val="67"/>
          <w:marBottom w:val="0"/>
          <w:divBdr>
            <w:top w:val="none" w:sz="0" w:space="0" w:color="auto"/>
            <w:left w:val="none" w:sz="0" w:space="0" w:color="auto"/>
            <w:bottom w:val="none" w:sz="0" w:space="0" w:color="auto"/>
            <w:right w:val="none" w:sz="0" w:space="0" w:color="auto"/>
          </w:divBdr>
        </w:div>
        <w:div w:id="159976594">
          <w:marLeft w:val="677"/>
          <w:marRight w:val="0"/>
          <w:marTop w:val="67"/>
          <w:marBottom w:val="0"/>
          <w:divBdr>
            <w:top w:val="none" w:sz="0" w:space="0" w:color="auto"/>
            <w:left w:val="none" w:sz="0" w:space="0" w:color="auto"/>
            <w:bottom w:val="none" w:sz="0" w:space="0" w:color="auto"/>
            <w:right w:val="none" w:sz="0" w:space="0" w:color="auto"/>
          </w:divBdr>
        </w:div>
        <w:div w:id="284585280">
          <w:marLeft w:val="677"/>
          <w:marRight w:val="0"/>
          <w:marTop w:val="67"/>
          <w:marBottom w:val="0"/>
          <w:divBdr>
            <w:top w:val="none" w:sz="0" w:space="0" w:color="auto"/>
            <w:left w:val="none" w:sz="0" w:space="0" w:color="auto"/>
            <w:bottom w:val="none" w:sz="0" w:space="0" w:color="auto"/>
            <w:right w:val="none" w:sz="0" w:space="0" w:color="auto"/>
          </w:divBdr>
        </w:div>
        <w:div w:id="671763923">
          <w:marLeft w:val="677"/>
          <w:marRight w:val="0"/>
          <w:marTop w:val="67"/>
          <w:marBottom w:val="0"/>
          <w:divBdr>
            <w:top w:val="none" w:sz="0" w:space="0" w:color="auto"/>
            <w:left w:val="none" w:sz="0" w:space="0" w:color="auto"/>
            <w:bottom w:val="none" w:sz="0" w:space="0" w:color="auto"/>
            <w:right w:val="none" w:sz="0" w:space="0" w:color="auto"/>
          </w:divBdr>
        </w:div>
        <w:div w:id="999891351">
          <w:marLeft w:val="677"/>
          <w:marRight w:val="0"/>
          <w:marTop w:val="67"/>
          <w:marBottom w:val="0"/>
          <w:divBdr>
            <w:top w:val="none" w:sz="0" w:space="0" w:color="auto"/>
            <w:left w:val="none" w:sz="0" w:space="0" w:color="auto"/>
            <w:bottom w:val="none" w:sz="0" w:space="0" w:color="auto"/>
            <w:right w:val="none" w:sz="0" w:space="0" w:color="auto"/>
          </w:divBdr>
        </w:div>
        <w:div w:id="1791196488">
          <w:marLeft w:val="677"/>
          <w:marRight w:val="0"/>
          <w:marTop w:val="67"/>
          <w:marBottom w:val="0"/>
          <w:divBdr>
            <w:top w:val="none" w:sz="0" w:space="0" w:color="auto"/>
            <w:left w:val="none" w:sz="0" w:space="0" w:color="auto"/>
            <w:bottom w:val="none" w:sz="0" w:space="0" w:color="auto"/>
            <w:right w:val="none" w:sz="0" w:space="0" w:color="auto"/>
          </w:divBdr>
        </w:div>
        <w:div w:id="1979720182">
          <w:marLeft w:val="677"/>
          <w:marRight w:val="0"/>
          <w:marTop w:val="67"/>
          <w:marBottom w:val="0"/>
          <w:divBdr>
            <w:top w:val="none" w:sz="0" w:space="0" w:color="auto"/>
            <w:left w:val="none" w:sz="0" w:space="0" w:color="auto"/>
            <w:bottom w:val="none" w:sz="0" w:space="0" w:color="auto"/>
            <w:right w:val="none" w:sz="0" w:space="0" w:color="auto"/>
          </w:divBdr>
        </w:div>
        <w:div w:id="2004821847">
          <w:marLeft w:val="677"/>
          <w:marRight w:val="0"/>
          <w:marTop w:val="67"/>
          <w:marBottom w:val="0"/>
          <w:divBdr>
            <w:top w:val="none" w:sz="0" w:space="0" w:color="auto"/>
            <w:left w:val="none" w:sz="0" w:space="0" w:color="auto"/>
            <w:bottom w:val="none" w:sz="0" w:space="0" w:color="auto"/>
            <w:right w:val="none" w:sz="0" w:space="0" w:color="auto"/>
          </w:divBdr>
        </w:div>
        <w:div w:id="2102602140">
          <w:marLeft w:val="677"/>
          <w:marRight w:val="0"/>
          <w:marTop w:val="67"/>
          <w:marBottom w:val="0"/>
          <w:divBdr>
            <w:top w:val="none" w:sz="0" w:space="0" w:color="auto"/>
            <w:left w:val="none" w:sz="0" w:space="0" w:color="auto"/>
            <w:bottom w:val="none" w:sz="0" w:space="0" w:color="auto"/>
            <w:right w:val="none" w:sz="0" w:space="0" w:color="auto"/>
          </w:divBdr>
        </w:div>
      </w:divsChild>
    </w:div>
    <w:div w:id="982462796">
      <w:bodyDiv w:val="1"/>
      <w:marLeft w:val="0"/>
      <w:marRight w:val="0"/>
      <w:marTop w:val="0"/>
      <w:marBottom w:val="0"/>
      <w:divBdr>
        <w:top w:val="none" w:sz="0" w:space="0" w:color="auto"/>
        <w:left w:val="none" w:sz="0" w:space="0" w:color="auto"/>
        <w:bottom w:val="none" w:sz="0" w:space="0" w:color="auto"/>
        <w:right w:val="none" w:sz="0" w:space="0" w:color="auto"/>
      </w:divBdr>
      <w:divsChild>
        <w:div w:id="218517867">
          <w:marLeft w:val="634"/>
          <w:marRight w:val="0"/>
          <w:marTop w:val="0"/>
          <w:marBottom w:val="120"/>
          <w:divBdr>
            <w:top w:val="none" w:sz="0" w:space="0" w:color="auto"/>
            <w:left w:val="none" w:sz="0" w:space="0" w:color="auto"/>
            <w:bottom w:val="none" w:sz="0" w:space="0" w:color="auto"/>
            <w:right w:val="none" w:sz="0" w:space="0" w:color="auto"/>
          </w:divBdr>
        </w:div>
        <w:div w:id="428165313">
          <w:marLeft w:val="634"/>
          <w:marRight w:val="0"/>
          <w:marTop w:val="0"/>
          <w:marBottom w:val="120"/>
          <w:divBdr>
            <w:top w:val="none" w:sz="0" w:space="0" w:color="auto"/>
            <w:left w:val="none" w:sz="0" w:space="0" w:color="auto"/>
            <w:bottom w:val="none" w:sz="0" w:space="0" w:color="auto"/>
            <w:right w:val="none" w:sz="0" w:space="0" w:color="auto"/>
          </w:divBdr>
        </w:div>
        <w:div w:id="598949720">
          <w:marLeft w:val="634"/>
          <w:marRight w:val="0"/>
          <w:marTop w:val="0"/>
          <w:marBottom w:val="120"/>
          <w:divBdr>
            <w:top w:val="none" w:sz="0" w:space="0" w:color="auto"/>
            <w:left w:val="none" w:sz="0" w:space="0" w:color="auto"/>
            <w:bottom w:val="none" w:sz="0" w:space="0" w:color="auto"/>
            <w:right w:val="none" w:sz="0" w:space="0" w:color="auto"/>
          </w:divBdr>
        </w:div>
        <w:div w:id="1864048962">
          <w:marLeft w:val="634"/>
          <w:marRight w:val="0"/>
          <w:marTop w:val="0"/>
          <w:marBottom w:val="120"/>
          <w:divBdr>
            <w:top w:val="none" w:sz="0" w:space="0" w:color="auto"/>
            <w:left w:val="none" w:sz="0" w:space="0" w:color="auto"/>
            <w:bottom w:val="none" w:sz="0" w:space="0" w:color="auto"/>
            <w:right w:val="none" w:sz="0" w:space="0" w:color="auto"/>
          </w:divBdr>
        </w:div>
      </w:divsChild>
    </w:div>
    <w:div w:id="1096437098">
      <w:bodyDiv w:val="1"/>
      <w:marLeft w:val="0"/>
      <w:marRight w:val="0"/>
      <w:marTop w:val="0"/>
      <w:marBottom w:val="0"/>
      <w:divBdr>
        <w:top w:val="none" w:sz="0" w:space="0" w:color="auto"/>
        <w:left w:val="none" w:sz="0" w:space="0" w:color="auto"/>
        <w:bottom w:val="none" w:sz="0" w:space="0" w:color="auto"/>
        <w:right w:val="none" w:sz="0" w:space="0" w:color="auto"/>
      </w:divBdr>
      <w:divsChild>
        <w:div w:id="75370687">
          <w:marLeft w:val="677"/>
          <w:marRight w:val="0"/>
          <w:marTop w:val="67"/>
          <w:marBottom w:val="0"/>
          <w:divBdr>
            <w:top w:val="none" w:sz="0" w:space="0" w:color="auto"/>
            <w:left w:val="none" w:sz="0" w:space="0" w:color="auto"/>
            <w:bottom w:val="none" w:sz="0" w:space="0" w:color="auto"/>
            <w:right w:val="none" w:sz="0" w:space="0" w:color="auto"/>
          </w:divBdr>
        </w:div>
        <w:div w:id="286468389">
          <w:marLeft w:val="677"/>
          <w:marRight w:val="0"/>
          <w:marTop w:val="67"/>
          <w:marBottom w:val="0"/>
          <w:divBdr>
            <w:top w:val="none" w:sz="0" w:space="0" w:color="auto"/>
            <w:left w:val="none" w:sz="0" w:space="0" w:color="auto"/>
            <w:bottom w:val="none" w:sz="0" w:space="0" w:color="auto"/>
            <w:right w:val="none" w:sz="0" w:space="0" w:color="auto"/>
          </w:divBdr>
        </w:div>
        <w:div w:id="384719084">
          <w:marLeft w:val="677"/>
          <w:marRight w:val="0"/>
          <w:marTop w:val="67"/>
          <w:marBottom w:val="0"/>
          <w:divBdr>
            <w:top w:val="none" w:sz="0" w:space="0" w:color="auto"/>
            <w:left w:val="none" w:sz="0" w:space="0" w:color="auto"/>
            <w:bottom w:val="none" w:sz="0" w:space="0" w:color="auto"/>
            <w:right w:val="none" w:sz="0" w:space="0" w:color="auto"/>
          </w:divBdr>
        </w:div>
        <w:div w:id="480658696">
          <w:marLeft w:val="677"/>
          <w:marRight w:val="0"/>
          <w:marTop w:val="67"/>
          <w:marBottom w:val="0"/>
          <w:divBdr>
            <w:top w:val="none" w:sz="0" w:space="0" w:color="auto"/>
            <w:left w:val="none" w:sz="0" w:space="0" w:color="auto"/>
            <w:bottom w:val="none" w:sz="0" w:space="0" w:color="auto"/>
            <w:right w:val="none" w:sz="0" w:space="0" w:color="auto"/>
          </w:divBdr>
        </w:div>
        <w:div w:id="674765921">
          <w:marLeft w:val="677"/>
          <w:marRight w:val="0"/>
          <w:marTop w:val="67"/>
          <w:marBottom w:val="0"/>
          <w:divBdr>
            <w:top w:val="none" w:sz="0" w:space="0" w:color="auto"/>
            <w:left w:val="none" w:sz="0" w:space="0" w:color="auto"/>
            <w:bottom w:val="none" w:sz="0" w:space="0" w:color="auto"/>
            <w:right w:val="none" w:sz="0" w:space="0" w:color="auto"/>
          </w:divBdr>
        </w:div>
        <w:div w:id="842089462">
          <w:marLeft w:val="677"/>
          <w:marRight w:val="0"/>
          <w:marTop w:val="67"/>
          <w:marBottom w:val="0"/>
          <w:divBdr>
            <w:top w:val="none" w:sz="0" w:space="0" w:color="auto"/>
            <w:left w:val="none" w:sz="0" w:space="0" w:color="auto"/>
            <w:bottom w:val="none" w:sz="0" w:space="0" w:color="auto"/>
            <w:right w:val="none" w:sz="0" w:space="0" w:color="auto"/>
          </w:divBdr>
        </w:div>
        <w:div w:id="851997136">
          <w:marLeft w:val="677"/>
          <w:marRight w:val="0"/>
          <w:marTop w:val="67"/>
          <w:marBottom w:val="0"/>
          <w:divBdr>
            <w:top w:val="none" w:sz="0" w:space="0" w:color="auto"/>
            <w:left w:val="none" w:sz="0" w:space="0" w:color="auto"/>
            <w:bottom w:val="none" w:sz="0" w:space="0" w:color="auto"/>
            <w:right w:val="none" w:sz="0" w:space="0" w:color="auto"/>
          </w:divBdr>
        </w:div>
        <w:div w:id="1191913624">
          <w:marLeft w:val="677"/>
          <w:marRight w:val="0"/>
          <w:marTop w:val="67"/>
          <w:marBottom w:val="0"/>
          <w:divBdr>
            <w:top w:val="none" w:sz="0" w:space="0" w:color="auto"/>
            <w:left w:val="none" w:sz="0" w:space="0" w:color="auto"/>
            <w:bottom w:val="none" w:sz="0" w:space="0" w:color="auto"/>
            <w:right w:val="none" w:sz="0" w:space="0" w:color="auto"/>
          </w:divBdr>
        </w:div>
        <w:div w:id="1689136225">
          <w:marLeft w:val="677"/>
          <w:marRight w:val="0"/>
          <w:marTop w:val="67"/>
          <w:marBottom w:val="0"/>
          <w:divBdr>
            <w:top w:val="none" w:sz="0" w:space="0" w:color="auto"/>
            <w:left w:val="none" w:sz="0" w:space="0" w:color="auto"/>
            <w:bottom w:val="none" w:sz="0" w:space="0" w:color="auto"/>
            <w:right w:val="none" w:sz="0" w:space="0" w:color="auto"/>
          </w:divBdr>
        </w:div>
        <w:div w:id="1816675598">
          <w:marLeft w:val="677"/>
          <w:marRight w:val="0"/>
          <w:marTop w:val="67"/>
          <w:marBottom w:val="0"/>
          <w:divBdr>
            <w:top w:val="none" w:sz="0" w:space="0" w:color="auto"/>
            <w:left w:val="none" w:sz="0" w:space="0" w:color="auto"/>
            <w:bottom w:val="none" w:sz="0" w:space="0" w:color="auto"/>
            <w:right w:val="none" w:sz="0" w:space="0" w:color="auto"/>
          </w:divBdr>
        </w:div>
        <w:div w:id="1892766366">
          <w:marLeft w:val="677"/>
          <w:marRight w:val="0"/>
          <w:marTop w:val="67"/>
          <w:marBottom w:val="0"/>
          <w:divBdr>
            <w:top w:val="none" w:sz="0" w:space="0" w:color="auto"/>
            <w:left w:val="none" w:sz="0" w:space="0" w:color="auto"/>
            <w:bottom w:val="none" w:sz="0" w:space="0" w:color="auto"/>
            <w:right w:val="none" w:sz="0" w:space="0" w:color="auto"/>
          </w:divBdr>
        </w:div>
      </w:divsChild>
    </w:div>
    <w:div w:id="1210917797">
      <w:bodyDiv w:val="1"/>
      <w:marLeft w:val="0"/>
      <w:marRight w:val="0"/>
      <w:marTop w:val="0"/>
      <w:marBottom w:val="0"/>
      <w:divBdr>
        <w:top w:val="none" w:sz="0" w:space="0" w:color="auto"/>
        <w:left w:val="none" w:sz="0" w:space="0" w:color="auto"/>
        <w:bottom w:val="none" w:sz="0" w:space="0" w:color="auto"/>
        <w:right w:val="none" w:sz="0" w:space="0" w:color="auto"/>
      </w:divBdr>
    </w:div>
    <w:div w:id="1372070098">
      <w:bodyDiv w:val="1"/>
      <w:marLeft w:val="0"/>
      <w:marRight w:val="0"/>
      <w:marTop w:val="0"/>
      <w:marBottom w:val="0"/>
      <w:divBdr>
        <w:top w:val="none" w:sz="0" w:space="0" w:color="auto"/>
        <w:left w:val="none" w:sz="0" w:space="0" w:color="auto"/>
        <w:bottom w:val="none" w:sz="0" w:space="0" w:color="auto"/>
        <w:right w:val="none" w:sz="0" w:space="0" w:color="auto"/>
      </w:divBdr>
      <w:divsChild>
        <w:div w:id="103496947">
          <w:marLeft w:val="677"/>
          <w:marRight w:val="0"/>
          <w:marTop w:val="67"/>
          <w:marBottom w:val="0"/>
          <w:divBdr>
            <w:top w:val="none" w:sz="0" w:space="0" w:color="auto"/>
            <w:left w:val="none" w:sz="0" w:space="0" w:color="auto"/>
            <w:bottom w:val="none" w:sz="0" w:space="0" w:color="auto"/>
            <w:right w:val="none" w:sz="0" w:space="0" w:color="auto"/>
          </w:divBdr>
        </w:div>
        <w:div w:id="299191570">
          <w:marLeft w:val="677"/>
          <w:marRight w:val="0"/>
          <w:marTop w:val="67"/>
          <w:marBottom w:val="0"/>
          <w:divBdr>
            <w:top w:val="none" w:sz="0" w:space="0" w:color="auto"/>
            <w:left w:val="none" w:sz="0" w:space="0" w:color="auto"/>
            <w:bottom w:val="none" w:sz="0" w:space="0" w:color="auto"/>
            <w:right w:val="none" w:sz="0" w:space="0" w:color="auto"/>
          </w:divBdr>
        </w:div>
        <w:div w:id="648831020">
          <w:marLeft w:val="677"/>
          <w:marRight w:val="0"/>
          <w:marTop w:val="67"/>
          <w:marBottom w:val="0"/>
          <w:divBdr>
            <w:top w:val="none" w:sz="0" w:space="0" w:color="auto"/>
            <w:left w:val="none" w:sz="0" w:space="0" w:color="auto"/>
            <w:bottom w:val="none" w:sz="0" w:space="0" w:color="auto"/>
            <w:right w:val="none" w:sz="0" w:space="0" w:color="auto"/>
          </w:divBdr>
        </w:div>
        <w:div w:id="660931824">
          <w:marLeft w:val="677"/>
          <w:marRight w:val="0"/>
          <w:marTop w:val="67"/>
          <w:marBottom w:val="0"/>
          <w:divBdr>
            <w:top w:val="none" w:sz="0" w:space="0" w:color="auto"/>
            <w:left w:val="none" w:sz="0" w:space="0" w:color="auto"/>
            <w:bottom w:val="none" w:sz="0" w:space="0" w:color="auto"/>
            <w:right w:val="none" w:sz="0" w:space="0" w:color="auto"/>
          </w:divBdr>
        </w:div>
        <w:div w:id="726951592">
          <w:marLeft w:val="677"/>
          <w:marRight w:val="0"/>
          <w:marTop w:val="67"/>
          <w:marBottom w:val="0"/>
          <w:divBdr>
            <w:top w:val="none" w:sz="0" w:space="0" w:color="auto"/>
            <w:left w:val="none" w:sz="0" w:space="0" w:color="auto"/>
            <w:bottom w:val="none" w:sz="0" w:space="0" w:color="auto"/>
            <w:right w:val="none" w:sz="0" w:space="0" w:color="auto"/>
          </w:divBdr>
        </w:div>
        <w:div w:id="947855833">
          <w:marLeft w:val="677"/>
          <w:marRight w:val="0"/>
          <w:marTop w:val="67"/>
          <w:marBottom w:val="0"/>
          <w:divBdr>
            <w:top w:val="none" w:sz="0" w:space="0" w:color="auto"/>
            <w:left w:val="none" w:sz="0" w:space="0" w:color="auto"/>
            <w:bottom w:val="none" w:sz="0" w:space="0" w:color="auto"/>
            <w:right w:val="none" w:sz="0" w:space="0" w:color="auto"/>
          </w:divBdr>
        </w:div>
        <w:div w:id="1423917187">
          <w:marLeft w:val="677"/>
          <w:marRight w:val="0"/>
          <w:marTop w:val="67"/>
          <w:marBottom w:val="0"/>
          <w:divBdr>
            <w:top w:val="none" w:sz="0" w:space="0" w:color="auto"/>
            <w:left w:val="none" w:sz="0" w:space="0" w:color="auto"/>
            <w:bottom w:val="none" w:sz="0" w:space="0" w:color="auto"/>
            <w:right w:val="none" w:sz="0" w:space="0" w:color="auto"/>
          </w:divBdr>
        </w:div>
        <w:div w:id="1815946173">
          <w:marLeft w:val="677"/>
          <w:marRight w:val="0"/>
          <w:marTop w:val="67"/>
          <w:marBottom w:val="0"/>
          <w:divBdr>
            <w:top w:val="none" w:sz="0" w:space="0" w:color="auto"/>
            <w:left w:val="none" w:sz="0" w:space="0" w:color="auto"/>
            <w:bottom w:val="none" w:sz="0" w:space="0" w:color="auto"/>
            <w:right w:val="none" w:sz="0" w:space="0" w:color="auto"/>
          </w:divBdr>
        </w:div>
      </w:divsChild>
    </w:div>
    <w:div w:id="1441219587">
      <w:bodyDiv w:val="1"/>
      <w:marLeft w:val="0"/>
      <w:marRight w:val="0"/>
      <w:marTop w:val="0"/>
      <w:marBottom w:val="0"/>
      <w:divBdr>
        <w:top w:val="none" w:sz="0" w:space="0" w:color="auto"/>
        <w:left w:val="none" w:sz="0" w:space="0" w:color="auto"/>
        <w:bottom w:val="none" w:sz="0" w:space="0" w:color="auto"/>
        <w:right w:val="none" w:sz="0" w:space="0" w:color="auto"/>
      </w:divBdr>
      <w:divsChild>
        <w:div w:id="300236970">
          <w:marLeft w:val="634"/>
          <w:marRight w:val="0"/>
          <w:marTop w:val="0"/>
          <w:marBottom w:val="120"/>
          <w:divBdr>
            <w:top w:val="none" w:sz="0" w:space="0" w:color="auto"/>
            <w:left w:val="none" w:sz="0" w:space="0" w:color="auto"/>
            <w:bottom w:val="none" w:sz="0" w:space="0" w:color="auto"/>
            <w:right w:val="none" w:sz="0" w:space="0" w:color="auto"/>
          </w:divBdr>
        </w:div>
        <w:div w:id="548541169">
          <w:marLeft w:val="634"/>
          <w:marRight w:val="0"/>
          <w:marTop w:val="0"/>
          <w:marBottom w:val="120"/>
          <w:divBdr>
            <w:top w:val="none" w:sz="0" w:space="0" w:color="auto"/>
            <w:left w:val="none" w:sz="0" w:space="0" w:color="auto"/>
            <w:bottom w:val="none" w:sz="0" w:space="0" w:color="auto"/>
            <w:right w:val="none" w:sz="0" w:space="0" w:color="auto"/>
          </w:divBdr>
        </w:div>
        <w:div w:id="700782963">
          <w:marLeft w:val="634"/>
          <w:marRight w:val="0"/>
          <w:marTop w:val="0"/>
          <w:marBottom w:val="120"/>
          <w:divBdr>
            <w:top w:val="none" w:sz="0" w:space="0" w:color="auto"/>
            <w:left w:val="none" w:sz="0" w:space="0" w:color="auto"/>
            <w:bottom w:val="none" w:sz="0" w:space="0" w:color="auto"/>
            <w:right w:val="none" w:sz="0" w:space="0" w:color="auto"/>
          </w:divBdr>
        </w:div>
        <w:div w:id="1179779556">
          <w:marLeft w:val="634"/>
          <w:marRight w:val="0"/>
          <w:marTop w:val="0"/>
          <w:marBottom w:val="120"/>
          <w:divBdr>
            <w:top w:val="none" w:sz="0" w:space="0" w:color="auto"/>
            <w:left w:val="none" w:sz="0" w:space="0" w:color="auto"/>
            <w:bottom w:val="none" w:sz="0" w:space="0" w:color="auto"/>
            <w:right w:val="none" w:sz="0" w:space="0" w:color="auto"/>
          </w:divBdr>
        </w:div>
        <w:div w:id="1706444323">
          <w:marLeft w:val="634"/>
          <w:marRight w:val="0"/>
          <w:marTop w:val="0"/>
          <w:marBottom w:val="120"/>
          <w:divBdr>
            <w:top w:val="none" w:sz="0" w:space="0" w:color="auto"/>
            <w:left w:val="none" w:sz="0" w:space="0" w:color="auto"/>
            <w:bottom w:val="none" w:sz="0" w:space="0" w:color="auto"/>
            <w:right w:val="none" w:sz="0" w:space="0" w:color="auto"/>
          </w:divBdr>
        </w:div>
      </w:divsChild>
    </w:div>
    <w:div w:id="1572038155">
      <w:bodyDiv w:val="1"/>
      <w:marLeft w:val="0"/>
      <w:marRight w:val="0"/>
      <w:marTop w:val="0"/>
      <w:marBottom w:val="0"/>
      <w:divBdr>
        <w:top w:val="none" w:sz="0" w:space="0" w:color="auto"/>
        <w:left w:val="none" w:sz="0" w:space="0" w:color="auto"/>
        <w:bottom w:val="none" w:sz="0" w:space="0" w:color="auto"/>
        <w:right w:val="none" w:sz="0" w:space="0" w:color="auto"/>
      </w:divBdr>
    </w:div>
    <w:div w:id="1582056516">
      <w:bodyDiv w:val="1"/>
      <w:marLeft w:val="0"/>
      <w:marRight w:val="0"/>
      <w:marTop w:val="0"/>
      <w:marBottom w:val="0"/>
      <w:divBdr>
        <w:top w:val="none" w:sz="0" w:space="0" w:color="auto"/>
        <w:left w:val="none" w:sz="0" w:space="0" w:color="auto"/>
        <w:bottom w:val="none" w:sz="0" w:space="0" w:color="auto"/>
        <w:right w:val="none" w:sz="0" w:space="0" w:color="auto"/>
      </w:divBdr>
    </w:div>
    <w:div w:id="1704480966">
      <w:bodyDiv w:val="1"/>
      <w:marLeft w:val="0"/>
      <w:marRight w:val="0"/>
      <w:marTop w:val="0"/>
      <w:marBottom w:val="0"/>
      <w:divBdr>
        <w:top w:val="none" w:sz="0" w:space="0" w:color="auto"/>
        <w:left w:val="none" w:sz="0" w:space="0" w:color="auto"/>
        <w:bottom w:val="none" w:sz="0" w:space="0" w:color="auto"/>
        <w:right w:val="none" w:sz="0" w:space="0" w:color="auto"/>
      </w:divBdr>
      <w:divsChild>
        <w:div w:id="512383118">
          <w:marLeft w:val="677"/>
          <w:marRight w:val="0"/>
          <w:marTop w:val="67"/>
          <w:marBottom w:val="0"/>
          <w:divBdr>
            <w:top w:val="none" w:sz="0" w:space="0" w:color="auto"/>
            <w:left w:val="none" w:sz="0" w:space="0" w:color="auto"/>
            <w:bottom w:val="none" w:sz="0" w:space="0" w:color="auto"/>
            <w:right w:val="none" w:sz="0" w:space="0" w:color="auto"/>
          </w:divBdr>
        </w:div>
        <w:div w:id="1997688346">
          <w:marLeft w:val="677"/>
          <w:marRight w:val="0"/>
          <w:marTop w:val="67"/>
          <w:marBottom w:val="0"/>
          <w:divBdr>
            <w:top w:val="none" w:sz="0" w:space="0" w:color="auto"/>
            <w:left w:val="none" w:sz="0" w:space="0" w:color="auto"/>
            <w:bottom w:val="none" w:sz="0" w:space="0" w:color="auto"/>
            <w:right w:val="none" w:sz="0" w:space="0" w:color="auto"/>
          </w:divBdr>
        </w:div>
      </w:divsChild>
    </w:div>
    <w:div w:id="1711105525">
      <w:bodyDiv w:val="1"/>
      <w:marLeft w:val="0"/>
      <w:marRight w:val="0"/>
      <w:marTop w:val="0"/>
      <w:marBottom w:val="0"/>
      <w:divBdr>
        <w:top w:val="none" w:sz="0" w:space="0" w:color="auto"/>
        <w:left w:val="none" w:sz="0" w:space="0" w:color="auto"/>
        <w:bottom w:val="none" w:sz="0" w:space="0" w:color="auto"/>
        <w:right w:val="none" w:sz="0" w:space="0" w:color="auto"/>
      </w:divBdr>
      <w:divsChild>
        <w:div w:id="95488360">
          <w:marLeft w:val="0"/>
          <w:marRight w:val="0"/>
          <w:marTop w:val="0"/>
          <w:marBottom w:val="0"/>
          <w:divBdr>
            <w:top w:val="none" w:sz="0" w:space="0" w:color="auto"/>
            <w:left w:val="none" w:sz="0" w:space="0" w:color="auto"/>
            <w:bottom w:val="none" w:sz="0" w:space="0" w:color="auto"/>
            <w:right w:val="none" w:sz="0" w:space="0" w:color="auto"/>
          </w:divBdr>
          <w:divsChild>
            <w:div w:id="1467352041">
              <w:marLeft w:val="0"/>
              <w:marRight w:val="0"/>
              <w:marTop w:val="0"/>
              <w:marBottom w:val="0"/>
              <w:divBdr>
                <w:top w:val="none" w:sz="0" w:space="0" w:color="auto"/>
                <w:left w:val="none" w:sz="0" w:space="0" w:color="auto"/>
                <w:bottom w:val="none" w:sz="0" w:space="0" w:color="auto"/>
                <w:right w:val="none" w:sz="0" w:space="0" w:color="auto"/>
              </w:divBdr>
              <w:divsChild>
                <w:div w:id="51927479">
                  <w:marLeft w:val="0"/>
                  <w:marRight w:val="0"/>
                  <w:marTop w:val="0"/>
                  <w:marBottom w:val="0"/>
                  <w:divBdr>
                    <w:top w:val="none" w:sz="0" w:space="0" w:color="auto"/>
                    <w:left w:val="none" w:sz="0" w:space="0" w:color="auto"/>
                    <w:bottom w:val="none" w:sz="0" w:space="0" w:color="auto"/>
                    <w:right w:val="none" w:sz="0" w:space="0" w:color="auto"/>
                  </w:divBdr>
                  <w:divsChild>
                    <w:div w:id="17921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2239">
      <w:bodyDiv w:val="1"/>
      <w:marLeft w:val="0"/>
      <w:marRight w:val="0"/>
      <w:marTop w:val="0"/>
      <w:marBottom w:val="0"/>
      <w:divBdr>
        <w:top w:val="none" w:sz="0" w:space="0" w:color="auto"/>
        <w:left w:val="none" w:sz="0" w:space="0" w:color="auto"/>
        <w:bottom w:val="none" w:sz="0" w:space="0" w:color="auto"/>
        <w:right w:val="none" w:sz="0" w:space="0" w:color="auto"/>
      </w:divBdr>
      <w:divsChild>
        <w:div w:id="301497693">
          <w:marLeft w:val="677"/>
          <w:marRight w:val="0"/>
          <w:marTop w:val="67"/>
          <w:marBottom w:val="0"/>
          <w:divBdr>
            <w:top w:val="none" w:sz="0" w:space="0" w:color="auto"/>
            <w:left w:val="none" w:sz="0" w:space="0" w:color="auto"/>
            <w:bottom w:val="none" w:sz="0" w:space="0" w:color="auto"/>
            <w:right w:val="none" w:sz="0" w:space="0" w:color="auto"/>
          </w:divBdr>
        </w:div>
        <w:div w:id="507059460">
          <w:marLeft w:val="677"/>
          <w:marRight w:val="0"/>
          <w:marTop w:val="67"/>
          <w:marBottom w:val="0"/>
          <w:divBdr>
            <w:top w:val="none" w:sz="0" w:space="0" w:color="auto"/>
            <w:left w:val="none" w:sz="0" w:space="0" w:color="auto"/>
            <w:bottom w:val="none" w:sz="0" w:space="0" w:color="auto"/>
            <w:right w:val="none" w:sz="0" w:space="0" w:color="auto"/>
          </w:divBdr>
        </w:div>
        <w:div w:id="864946368">
          <w:marLeft w:val="677"/>
          <w:marRight w:val="0"/>
          <w:marTop w:val="67"/>
          <w:marBottom w:val="0"/>
          <w:divBdr>
            <w:top w:val="none" w:sz="0" w:space="0" w:color="auto"/>
            <w:left w:val="none" w:sz="0" w:space="0" w:color="auto"/>
            <w:bottom w:val="none" w:sz="0" w:space="0" w:color="auto"/>
            <w:right w:val="none" w:sz="0" w:space="0" w:color="auto"/>
          </w:divBdr>
        </w:div>
        <w:div w:id="1239750557">
          <w:marLeft w:val="677"/>
          <w:marRight w:val="0"/>
          <w:marTop w:val="67"/>
          <w:marBottom w:val="0"/>
          <w:divBdr>
            <w:top w:val="none" w:sz="0" w:space="0" w:color="auto"/>
            <w:left w:val="none" w:sz="0" w:space="0" w:color="auto"/>
            <w:bottom w:val="none" w:sz="0" w:space="0" w:color="auto"/>
            <w:right w:val="none" w:sz="0" w:space="0" w:color="auto"/>
          </w:divBdr>
        </w:div>
        <w:div w:id="1359310658">
          <w:marLeft w:val="677"/>
          <w:marRight w:val="0"/>
          <w:marTop w:val="67"/>
          <w:marBottom w:val="0"/>
          <w:divBdr>
            <w:top w:val="none" w:sz="0" w:space="0" w:color="auto"/>
            <w:left w:val="none" w:sz="0" w:space="0" w:color="auto"/>
            <w:bottom w:val="none" w:sz="0" w:space="0" w:color="auto"/>
            <w:right w:val="none" w:sz="0" w:space="0" w:color="auto"/>
          </w:divBdr>
        </w:div>
        <w:div w:id="1450128008">
          <w:marLeft w:val="677"/>
          <w:marRight w:val="0"/>
          <w:marTop w:val="67"/>
          <w:marBottom w:val="0"/>
          <w:divBdr>
            <w:top w:val="none" w:sz="0" w:space="0" w:color="auto"/>
            <w:left w:val="none" w:sz="0" w:space="0" w:color="auto"/>
            <w:bottom w:val="none" w:sz="0" w:space="0" w:color="auto"/>
            <w:right w:val="none" w:sz="0" w:space="0" w:color="auto"/>
          </w:divBdr>
        </w:div>
        <w:div w:id="1568497451">
          <w:marLeft w:val="677"/>
          <w:marRight w:val="0"/>
          <w:marTop w:val="67"/>
          <w:marBottom w:val="0"/>
          <w:divBdr>
            <w:top w:val="none" w:sz="0" w:space="0" w:color="auto"/>
            <w:left w:val="none" w:sz="0" w:space="0" w:color="auto"/>
            <w:bottom w:val="none" w:sz="0" w:space="0" w:color="auto"/>
            <w:right w:val="none" w:sz="0" w:space="0" w:color="auto"/>
          </w:divBdr>
        </w:div>
        <w:div w:id="2007896019">
          <w:marLeft w:val="677"/>
          <w:marRight w:val="0"/>
          <w:marTop w:val="67"/>
          <w:marBottom w:val="0"/>
          <w:divBdr>
            <w:top w:val="none" w:sz="0" w:space="0" w:color="auto"/>
            <w:left w:val="none" w:sz="0" w:space="0" w:color="auto"/>
            <w:bottom w:val="none" w:sz="0" w:space="0" w:color="auto"/>
            <w:right w:val="none" w:sz="0" w:space="0" w:color="auto"/>
          </w:divBdr>
        </w:div>
        <w:div w:id="2054229381">
          <w:marLeft w:val="677"/>
          <w:marRight w:val="0"/>
          <w:marTop w:val="67"/>
          <w:marBottom w:val="0"/>
          <w:divBdr>
            <w:top w:val="none" w:sz="0" w:space="0" w:color="auto"/>
            <w:left w:val="none" w:sz="0" w:space="0" w:color="auto"/>
            <w:bottom w:val="none" w:sz="0" w:space="0" w:color="auto"/>
            <w:right w:val="none" w:sz="0" w:space="0" w:color="auto"/>
          </w:divBdr>
        </w:div>
        <w:div w:id="2073918465">
          <w:marLeft w:val="677"/>
          <w:marRight w:val="0"/>
          <w:marTop w:val="67"/>
          <w:marBottom w:val="0"/>
          <w:divBdr>
            <w:top w:val="none" w:sz="0" w:space="0" w:color="auto"/>
            <w:left w:val="none" w:sz="0" w:space="0" w:color="auto"/>
            <w:bottom w:val="none" w:sz="0" w:space="0" w:color="auto"/>
            <w:right w:val="none" w:sz="0" w:space="0" w:color="auto"/>
          </w:divBdr>
        </w:div>
      </w:divsChild>
    </w:div>
    <w:div w:id="1885557696">
      <w:bodyDiv w:val="1"/>
      <w:marLeft w:val="0"/>
      <w:marRight w:val="0"/>
      <w:marTop w:val="0"/>
      <w:marBottom w:val="0"/>
      <w:divBdr>
        <w:top w:val="none" w:sz="0" w:space="0" w:color="auto"/>
        <w:left w:val="none" w:sz="0" w:space="0" w:color="auto"/>
        <w:bottom w:val="none" w:sz="0" w:space="0" w:color="auto"/>
        <w:right w:val="none" w:sz="0" w:space="0" w:color="auto"/>
      </w:divBdr>
    </w:div>
    <w:div w:id="1904872376">
      <w:bodyDiv w:val="1"/>
      <w:marLeft w:val="0"/>
      <w:marRight w:val="0"/>
      <w:marTop w:val="0"/>
      <w:marBottom w:val="0"/>
      <w:divBdr>
        <w:top w:val="none" w:sz="0" w:space="0" w:color="auto"/>
        <w:left w:val="none" w:sz="0" w:space="0" w:color="auto"/>
        <w:bottom w:val="none" w:sz="0" w:space="0" w:color="auto"/>
        <w:right w:val="none" w:sz="0" w:space="0" w:color="auto"/>
      </w:divBdr>
    </w:div>
    <w:div w:id="1908567275">
      <w:bodyDiv w:val="1"/>
      <w:marLeft w:val="0"/>
      <w:marRight w:val="0"/>
      <w:marTop w:val="0"/>
      <w:marBottom w:val="0"/>
      <w:divBdr>
        <w:top w:val="none" w:sz="0" w:space="0" w:color="auto"/>
        <w:left w:val="none" w:sz="0" w:space="0" w:color="auto"/>
        <w:bottom w:val="none" w:sz="0" w:space="0" w:color="auto"/>
        <w:right w:val="none" w:sz="0" w:space="0" w:color="auto"/>
      </w:divBdr>
      <w:divsChild>
        <w:div w:id="785739103">
          <w:marLeft w:val="677"/>
          <w:marRight w:val="0"/>
          <w:marTop w:val="67"/>
          <w:marBottom w:val="0"/>
          <w:divBdr>
            <w:top w:val="none" w:sz="0" w:space="0" w:color="auto"/>
            <w:left w:val="none" w:sz="0" w:space="0" w:color="auto"/>
            <w:bottom w:val="none" w:sz="0" w:space="0" w:color="auto"/>
            <w:right w:val="none" w:sz="0" w:space="0" w:color="auto"/>
          </w:divBdr>
        </w:div>
        <w:div w:id="788747446">
          <w:marLeft w:val="677"/>
          <w:marRight w:val="0"/>
          <w:marTop w:val="67"/>
          <w:marBottom w:val="0"/>
          <w:divBdr>
            <w:top w:val="none" w:sz="0" w:space="0" w:color="auto"/>
            <w:left w:val="none" w:sz="0" w:space="0" w:color="auto"/>
            <w:bottom w:val="none" w:sz="0" w:space="0" w:color="auto"/>
            <w:right w:val="none" w:sz="0" w:space="0" w:color="auto"/>
          </w:divBdr>
        </w:div>
        <w:div w:id="1075201197">
          <w:marLeft w:val="677"/>
          <w:marRight w:val="0"/>
          <w:marTop w:val="67"/>
          <w:marBottom w:val="0"/>
          <w:divBdr>
            <w:top w:val="none" w:sz="0" w:space="0" w:color="auto"/>
            <w:left w:val="none" w:sz="0" w:space="0" w:color="auto"/>
            <w:bottom w:val="none" w:sz="0" w:space="0" w:color="auto"/>
            <w:right w:val="none" w:sz="0" w:space="0" w:color="auto"/>
          </w:divBdr>
        </w:div>
        <w:div w:id="1618216647">
          <w:marLeft w:val="677"/>
          <w:marRight w:val="0"/>
          <w:marTop w:val="67"/>
          <w:marBottom w:val="0"/>
          <w:divBdr>
            <w:top w:val="none" w:sz="0" w:space="0" w:color="auto"/>
            <w:left w:val="none" w:sz="0" w:space="0" w:color="auto"/>
            <w:bottom w:val="none" w:sz="0" w:space="0" w:color="auto"/>
            <w:right w:val="none" w:sz="0" w:space="0" w:color="auto"/>
          </w:divBdr>
        </w:div>
      </w:divsChild>
    </w:div>
    <w:div w:id="2028210564">
      <w:bodyDiv w:val="1"/>
      <w:marLeft w:val="0"/>
      <w:marRight w:val="0"/>
      <w:marTop w:val="0"/>
      <w:marBottom w:val="0"/>
      <w:divBdr>
        <w:top w:val="none" w:sz="0" w:space="0" w:color="auto"/>
        <w:left w:val="none" w:sz="0" w:space="0" w:color="auto"/>
        <w:bottom w:val="none" w:sz="0" w:space="0" w:color="auto"/>
        <w:right w:val="none" w:sz="0" w:space="0" w:color="auto"/>
      </w:divBdr>
      <w:divsChild>
        <w:div w:id="276064307">
          <w:marLeft w:val="979"/>
          <w:marRight w:val="0"/>
          <w:marTop w:val="0"/>
          <w:marBottom w:val="120"/>
          <w:divBdr>
            <w:top w:val="none" w:sz="0" w:space="0" w:color="auto"/>
            <w:left w:val="none" w:sz="0" w:space="0" w:color="auto"/>
            <w:bottom w:val="none" w:sz="0" w:space="0" w:color="auto"/>
            <w:right w:val="none" w:sz="0" w:space="0" w:color="auto"/>
          </w:divBdr>
        </w:div>
        <w:div w:id="308483238">
          <w:marLeft w:val="634"/>
          <w:marRight w:val="0"/>
          <w:marTop w:val="0"/>
          <w:marBottom w:val="120"/>
          <w:divBdr>
            <w:top w:val="none" w:sz="0" w:space="0" w:color="auto"/>
            <w:left w:val="none" w:sz="0" w:space="0" w:color="auto"/>
            <w:bottom w:val="none" w:sz="0" w:space="0" w:color="auto"/>
            <w:right w:val="none" w:sz="0" w:space="0" w:color="auto"/>
          </w:divBdr>
        </w:div>
        <w:div w:id="551504624">
          <w:marLeft w:val="634"/>
          <w:marRight w:val="0"/>
          <w:marTop w:val="0"/>
          <w:marBottom w:val="120"/>
          <w:divBdr>
            <w:top w:val="none" w:sz="0" w:space="0" w:color="auto"/>
            <w:left w:val="none" w:sz="0" w:space="0" w:color="auto"/>
            <w:bottom w:val="none" w:sz="0" w:space="0" w:color="auto"/>
            <w:right w:val="none" w:sz="0" w:space="0" w:color="auto"/>
          </w:divBdr>
        </w:div>
        <w:div w:id="1106998284">
          <w:marLeft w:val="979"/>
          <w:marRight w:val="0"/>
          <w:marTop w:val="0"/>
          <w:marBottom w:val="120"/>
          <w:divBdr>
            <w:top w:val="none" w:sz="0" w:space="0" w:color="auto"/>
            <w:left w:val="none" w:sz="0" w:space="0" w:color="auto"/>
            <w:bottom w:val="none" w:sz="0" w:space="0" w:color="auto"/>
            <w:right w:val="none" w:sz="0" w:space="0" w:color="auto"/>
          </w:divBdr>
        </w:div>
        <w:div w:id="1126237399">
          <w:marLeft w:val="979"/>
          <w:marRight w:val="0"/>
          <w:marTop w:val="0"/>
          <w:marBottom w:val="120"/>
          <w:divBdr>
            <w:top w:val="none" w:sz="0" w:space="0" w:color="auto"/>
            <w:left w:val="none" w:sz="0" w:space="0" w:color="auto"/>
            <w:bottom w:val="none" w:sz="0" w:space="0" w:color="auto"/>
            <w:right w:val="none" w:sz="0" w:space="0" w:color="auto"/>
          </w:divBdr>
        </w:div>
        <w:div w:id="1209759657">
          <w:marLeft w:val="634"/>
          <w:marRight w:val="0"/>
          <w:marTop w:val="0"/>
          <w:marBottom w:val="120"/>
          <w:divBdr>
            <w:top w:val="none" w:sz="0" w:space="0" w:color="auto"/>
            <w:left w:val="none" w:sz="0" w:space="0" w:color="auto"/>
            <w:bottom w:val="none" w:sz="0" w:space="0" w:color="auto"/>
            <w:right w:val="none" w:sz="0" w:space="0" w:color="auto"/>
          </w:divBdr>
        </w:div>
        <w:div w:id="1212302461">
          <w:marLeft w:val="634"/>
          <w:marRight w:val="0"/>
          <w:marTop w:val="0"/>
          <w:marBottom w:val="120"/>
          <w:divBdr>
            <w:top w:val="none" w:sz="0" w:space="0" w:color="auto"/>
            <w:left w:val="none" w:sz="0" w:space="0" w:color="auto"/>
            <w:bottom w:val="none" w:sz="0" w:space="0" w:color="auto"/>
            <w:right w:val="none" w:sz="0" w:space="0" w:color="auto"/>
          </w:divBdr>
        </w:div>
        <w:div w:id="1218710917">
          <w:marLeft w:val="634"/>
          <w:marRight w:val="0"/>
          <w:marTop w:val="0"/>
          <w:marBottom w:val="120"/>
          <w:divBdr>
            <w:top w:val="none" w:sz="0" w:space="0" w:color="auto"/>
            <w:left w:val="none" w:sz="0" w:space="0" w:color="auto"/>
            <w:bottom w:val="none" w:sz="0" w:space="0" w:color="auto"/>
            <w:right w:val="none" w:sz="0" w:space="0" w:color="auto"/>
          </w:divBdr>
        </w:div>
        <w:div w:id="1276055820">
          <w:marLeft w:val="634"/>
          <w:marRight w:val="0"/>
          <w:marTop w:val="0"/>
          <w:marBottom w:val="120"/>
          <w:divBdr>
            <w:top w:val="none" w:sz="0" w:space="0" w:color="auto"/>
            <w:left w:val="none" w:sz="0" w:space="0" w:color="auto"/>
            <w:bottom w:val="none" w:sz="0" w:space="0" w:color="auto"/>
            <w:right w:val="none" w:sz="0" w:space="0" w:color="auto"/>
          </w:divBdr>
        </w:div>
        <w:div w:id="1382290227">
          <w:marLeft w:val="634"/>
          <w:marRight w:val="0"/>
          <w:marTop w:val="0"/>
          <w:marBottom w:val="120"/>
          <w:divBdr>
            <w:top w:val="none" w:sz="0" w:space="0" w:color="auto"/>
            <w:left w:val="none" w:sz="0" w:space="0" w:color="auto"/>
            <w:bottom w:val="none" w:sz="0" w:space="0" w:color="auto"/>
            <w:right w:val="none" w:sz="0" w:space="0" w:color="auto"/>
          </w:divBdr>
        </w:div>
        <w:div w:id="1626808703">
          <w:marLeft w:val="634"/>
          <w:marRight w:val="0"/>
          <w:marTop w:val="0"/>
          <w:marBottom w:val="120"/>
          <w:divBdr>
            <w:top w:val="none" w:sz="0" w:space="0" w:color="auto"/>
            <w:left w:val="none" w:sz="0" w:space="0" w:color="auto"/>
            <w:bottom w:val="none" w:sz="0" w:space="0" w:color="auto"/>
            <w:right w:val="none" w:sz="0" w:space="0" w:color="auto"/>
          </w:divBdr>
        </w:div>
        <w:div w:id="1782265433">
          <w:marLeft w:val="634"/>
          <w:marRight w:val="0"/>
          <w:marTop w:val="0"/>
          <w:marBottom w:val="120"/>
          <w:divBdr>
            <w:top w:val="none" w:sz="0" w:space="0" w:color="auto"/>
            <w:left w:val="none" w:sz="0" w:space="0" w:color="auto"/>
            <w:bottom w:val="none" w:sz="0" w:space="0" w:color="auto"/>
            <w:right w:val="none" w:sz="0" w:space="0" w:color="auto"/>
          </w:divBdr>
        </w:div>
      </w:divsChild>
    </w:div>
    <w:div w:id="2087921793">
      <w:bodyDiv w:val="1"/>
      <w:marLeft w:val="0"/>
      <w:marRight w:val="0"/>
      <w:marTop w:val="0"/>
      <w:marBottom w:val="0"/>
      <w:divBdr>
        <w:top w:val="none" w:sz="0" w:space="0" w:color="auto"/>
        <w:left w:val="none" w:sz="0" w:space="0" w:color="auto"/>
        <w:bottom w:val="none" w:sz="0" w:space="0" w:color="auto"/>
        <w:right w:val="none" w:sz="0" w:space="0" w:color="auto"/>
      </w:divBdr>
      <w:divsChild>
        <w:div w:id="33774568">
          <w:marLeft w:val="677"/>
          <w:marRight w:val="0"/>
          <w:marTop w:val="67"/>
          <w:marBottom w:val="0"/>
          <w:divBdr>
            <w:top w:val="none" w:sz="0" w:space="0" w:color="auto"/>
            <w:left w:val="none" w:sz="0" w:space="0" w:color="auto"/>
            <w:bottom w:val="none" w:sz="0" w:space="0" w:color="auto"/>
            <w:right w:val="none" w:sz="0" w:space="0" w:color="auto"/>
          </w:divBdr>
        </w:div>
        <w:div w:id="1304652871">
          <w:marLeft w:val="67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image" Target="media/image2.png"/><Relationship Id="rId14" Type="http://schemas.openxmlformats.org/officeDocument/2006/relationships/image" Target="media/image3.png"/><Relationship Id="rId15" Type="http://schemas.microsoft.com/office/2007/relationships/hdphoto" Target="media/hdphoto1.wdp"/><Relationship Id="rId16" Type="http://schemas.openxmlformats.org/officeDocument/2006/relationships/image" Target="media/image4.emf"/><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50" Type="http://schemas.openxmlformats.org/officeDocument/2006/relationships/image" Target="media/image31.emf"/><Relationship Id="rId51" Type="http://schemas.openxmlformats.org/officeDocument/2006/relationships/image" Target="media/image32.emf"/><Relationship Id="rId52" Type="http://schemas.openxmlformats.org/officeDocument/2006/relationships/image" Target="media/image33.emf"/><Relationship Id="rId53" Type="http://schemas.openxmlformats.org/officeDocument/2006/relationships/image" Target="media/image34.emf"/><Relationship Id="rId54" Type="http://schemas.openxmlformats.org/officeDocument/2006/relationships/image" Target="media/image35.emf"/><Relationship Id="rId55" Type="http://schemas.openxmlformats.org/officeDocument/2006/relationships/image" Target="media/image36.emf"/><Relationship Id="rId56" Type="http://schemas.openxmlformats.org/officeDocument/2006/relationships/image" Target="media/image37.emf"/><Relationship Id="rId57" Type="http://schemas.openxmlformats.org/officeDocument/2006/relationships/image" Target="media/image38.emf"/><Relationship Id="rId58" Type="http://schemas.openxmlformats.org/officeDocument/2006/relationships/image" Target="media/image39.emf"/><Relationship Id="rId59" Type="http://schemas.openxmlformats.org/officeDocument/2006/relationships/image" Target="media/image40.emf"/><Relationship Id="rId70" Type="http://schemas.openxmlformats.org/officeDocument/2006/relationships/image" Target="media/image51.emf"/><Relationship Id="rId71" Type="http://schemas.openxmlformats.org/officeDocument/2006/relationships/image" Target="media/image52.emf"/><Relationship Id="rId72" Type="http://schemas.openxmlformats.org/officeDocument/2006/relationships/image" Target="media/image53.emf"/><Relationship Id="rId73" Type="http://schemas.openxmlformats.org/officeDocument/2006/relationships/image" Target="media/image54.emf"/><Relationship Id="rId74" Type="http://schemas.openxmlformats.org/officeDocument/2006/relationships/image" Target="media/image55.png"/><Relationship Id="rId75" Type="http://schemas.openxmlformats.org/officeDocument/2006/relationships/image" Target="media/image56.emf"/><Relationship Id="rId76" Type="http://schemas.openxmlformats.org/officeDocument/2006/relationships/image" Target="media/image57.emf"/><Relationship Id="rId77" Type="http://schemas.openxmlformats.org/officeDocument/2006/relationships/image" Target="media/image58.emf"/><Relationship Id="rId78" Type="http://schemas.openxmlformats.org/officeDocument/2006/relationships/image" Target="media/image59.emf"/><Relationship Id="rId79" Type="http://schemas.openxmlformats.org/officeDocument/2006/relationships/image" Target="media/image60.png"/><Relationship Id="rId90" Type="http://schemas.openxmlformats.org/officeDocument/2006/relationships/image" Target="media/image71.emf"/><Relationship Id="rId91" Type="http://schemas.openxmlformats.org/officeDocument/2006/relationships/image" Target="media/image72.emf"/><Relationship Id="rId92" Type="http://schemas.openxmlformats.org/officeDocument/2006/relationships/image" Target="media/image73.emf"/><Relationship Id="rId93" Type="http://schemas.openxmlformats.org/officeDocument/2006/relationships/image" Target="media/image74.emf"/><Relationship Id="rId94" Type="http://schemas.openxmlformats.org/officeDocument/2006/relationships/image" Target="media/image75.emf"/><Relationship Id="rId95" Type="http://schemas.openxmlformats.org/officeDocument/2006/relationships/image" Target="media/image76.emf"/><Relationship Id="rId96" Type="http://schemas.openxmlformats.org/officeDocument/2006/relationships/image" Target="media/image77.emf"/><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image" Target="media/image10.pn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3.xml"/><Relationship Id="rId28" Type="http://schemas.openxmlformats.org/officeDocument/2006/relationships/header" Target="header6.xml"/><Relationship Id="rId29" Type="http://schemas.openxmlformats.org/officeDocument/2006/relationships/footer" Target="footer4.xml"/><Relationship Id="rId40" Type="http://schemas.openxmlformats.org/officeDocument/2006/relationships/image" Target="media/image21.png"/><Relationship Id="rId41" Type="http://schemas.openxmlformats.org/officeDocument/2006/relationships/image" Target="media/image22.emf"/><Relationship Id="rId42" Type="http://schemas.openxmlformats.org/officeDocument/2006/relationships/image" Target="media/image23.emf"/><Relationship Id="rId43" Type="http://schemas.openxmlformats.org/officeDocument/2006/relationships/image" Target="media/image24.emf"/><Relationship Id="rId44" Type="http://schemas.openxmlformats.org/officeDocument/2006/relationships/image" Target="media/image25.png"/><Relationship Id="rId45" Type="http://schemas.openxmlformats.org/officeDocument/2006/relationships/image" Target="media/image26.emf"/><Relationship Id="rId46" Type="http://schemas.openxmlformats.org/officeDocument/2006/relationships/image" Target="media/image27.emf"/><Relationship Id="rId47" Type="http://schemas.openxmlformats.org/officeDocument/2006/relationships/image" Target="media/image28.emf"/><Relationship Id="rId48" Type="http://schemas.openxmlformats.org/officeDocument/2006/relationships/image" Target="media/image29.emf"/><Relationship Id="rId49" Type="http://schemas.openxmlformats.org/officeDocument/2006/relationships/image" Target="media/image30.emf"/><Relationship Id="rId60" Type="http://schemas.openxmlformats.org/officeDocument/2006/relationships/image" Target="media/image41.emf"/><Relationship Id="rId61" Type="http://schemas.openxmlformats.org/officeDocument/2006/relationships/image" Target="media/image42.emf"/><Relationship Id="rId62" Type="http://schemas.openxmlformats.org/officeDocument/2006/relationships/image" Target="media/image43.emf"/><Relationship Id="rId63" Type="http://schemas.openxmlformats.org/officeDocument/2006/relationships/image" Target="media/image44.emf"/><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emf"/><Relationship Id="rId68" Type="http://schemas.openxmlformats.org/officeDocument/2006/relationships/image" Target="media/image49.emf"/><Relationship Id="rId69" Type="http://schemas.openxmlformats.org/officeDocument/2006/relationships/image" Target="media/image50.emf"/><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emf"/><Relationship Id="rId83" Type="http://schemas.openxmlformats.org/officeDocument/2006/relationships/image" Target="media/image64.emf"/><Relationship Id="rId84" Type="http://schemas.openxmlformats.org/officeDocument/2006/relationships/image" Target="media/image65.emf"/><Relationship Id="rId85" Type="http://schemas.openxmlformats.org/officeDocument/2006/relationships/image" Target="media/image66.emf"/><Relationship Id="rId86" Type="http://schemas.openxmlformats.org/officeDocument/2006/relationships/image" Target="media/image67.emf"/><Relationship Id="rId87" Type="http://schemas.openxmlformats.org/officeDocument/2006/relationships/image" Target="media/image68.emf"/><Relationship Id="rId88" Type="http://schemas.openxmlformats.org/officeDocument/2006/relationships/image" Target="media/image69.emf"/><Relationship Id="rId89" Type="http://schemas.openxmlformats.org/officeDocument/2006/relationships/image" Target="media/image70.emf"/></Relationships>
</file>

<file path=word/theme/theme1.xml><?xml version="1.0" encoding="utf-8"?>
<a:theme xmlns:a="http://schemas.openxmlformats.org/drawingml/2006/main" name="NewOCATheme-ALR">
  <a:themeElements>
    <a:clrScheme name="OCA Standard">
      <a:dk1>
        <a:srgbClr val="17365D"/>
      </a:dk1>
      <a:lt1>
        <a:srgbClr val="FFFFFF"/>
      </a:lt1>
      <a:dk2>
        <a:srgbClr val="366092"/>
      </a:dk2>
      <a:lt2>
        <a:srgbClr val="FFFFFF"/>
      </a:lt2>
      <a:accent1>
        <a:srgbClr val="ADD2D7"/>
      </a:accent1>
      <a:accent2>
        <a:srgbClr val="84BCC4"/>
      </a:accent2>
      <a:accent3>
        <a:srgbClr val="52A1AC"/>
      </a:accent3>
      <a:accent4>
        <a:srgbClr val="43848D"/>
      </a:accent4>
      <a:accent5>
        <a:srgbClr val="58595B"/>
      </a:accent5>
      <a:accent6>
        <a:srgbClr val="ED9D21"/>
      </a:accent6>
      <a:hlink>
        <a:srgbClr val="0000FF"/>
      </a:hlink>
      <a:folHlink>
        <a:srgbClr val="800080"/>
      </a:folHlink>
    </a:clrScheme>
    <a:fontScheme name="OCA Standa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defPPr algn="ctr">
          <a:defRPr sz="1600" b="1"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This material (including any attachments or exhibits) was prepared by Open Capital Advisors Ltd. in response to your request and contains confidential and proprietary information that is intended for your use only and cannot be relied upon by any third party. Any unauthorized use, copying, alteration, or dissemination of this material, or any portion thereof, is strictly prohibited.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6D1FF3-3431-AF4F-A29A-F6443051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35558</Words>
  <Characters>202684</Characters>
  <Application>Microsoft Macintosh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Understanding the market &amp; identifying models to stimulate the Zambian market for Solar Home Systems &amp; Solar Lamps</vt:lpstr>
    </vt:vector>
  </TitlesOfParts>
  <Company>OPEN CAPITAL ADVISORS</Company>
  <LinksUpToDate>false</LinksUpToDate>
  <CharactersWithSpaces>237767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market &amp; identifying models to stimulate the Zambian market for Solar Home Systems &amp; Solar Lamps</dc:title>
  <dc:subject>World Bank</dc:subject>
  <dc:creator>Neil . Wood</dc:creator>
  <cp:keywords/>
  <dc:description/>
  <cp:lastModifiedBy>Jennifer Lynch</cp:lastModifiedBy>
  <cp:revision>3</cp:revision>
  <cp:lastPrinted>2017-09-27T19:39:00Z</cp:lastPrinted>
  <dcterms:created xsi:type="dcterms:W3CDTF">2017-12-15T09:27:00Z</dcterms:created>
  <dcterms:modified xsi:type="dcterms:W3CDTF">2017-12-15T09:28:00Z</dcterms:modified>
</cp:coreProperties>
</file>